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pieņemot Interešu pārstāvības atklātības likumu, ir noteicis, ka interešu pārstāvjiem ir pienākums reģistrēties, kad interešu pārstāvība ir kļuvusi sistemātiska, proti, īstenota vismaz trīs reizes 12 mēnešu periodā. Līdz ar to Valsts kanceleja uztur iepriekš izteikto iebildumu, atkārtoti paužot, ka noteikumu projekta 13. punktā ietvertais nosacījums ir nesamērīgs attiecībā uz pieprasāmās informācijas apjomu no interešu pārstāvja, kas nav veicis sistemātisku interešu pārstāvību. Valsts kanceleja nepiekrīt, ka tikai ar visu Interešu pārstāvības atklātības likuma 3. panta ceturtajā daļā (izņemot 3. panta ceturtās daļas 4. punktā noteikto) norādīto ziņu iekļaušanu Deklarēšanas sistēmā ir iespējams identificēt konkrētu interešu pārstāvi un konstatēt, ka ir iestājies Interešu pārstāvības likuma 6. panta piektajā daļā noteiktais gadījums. Tas būtu iespējams arī pamatojoties uz noteikumu projekta 9.2. vai 9.3. apakšpunktā noteikto informāciju. Tāpat noteikumu projekta 13. punktā minētās informācijas pieprasīšana radīs arī papildu slogu publiskās varas pārstāvjiem, lai visu šo informāciju iegūtu un publicētu Deklarēšanās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vēlreiz pārdomāt noteikumu projektā iekļauto normu uztveramību saprotamību, tādējādi nodrošinot iesaistīto pušu izpratni par to pienākumiem. Valsts kancelejas ieskatā noteikumu projekta saturs salīdzinot ar Interešu pārstāvības atklātības likuma saturu ir sarežģītāk uztverams, attiecīgi arī jāplāno skaidrojošas aktivitātes izpratnes sekmēšanai.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(Inese Kušķe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izpildes nodrošināšana un tās ietekme uz valsts institūcijām ir norādāma anotācijas 7.sadaļā. Lūdzam administratīvo izmaksu monetāro novērtējumu, kas veikts par publiskās varas pārstāvjiem aizpildīt anotācijas 7.sadaļas 7.2.punktā.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15.07.2024.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15.07.2024.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