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līdz 2029. gada 31. decembrim pasākumu ietvaros sasniedzamais rezultāta nacionālais rādītājs – vismaz 30 % primārās enerģijas ietaupījumu no attiecīgās pasākumu ietvaros atbalstītās ēkas primārās enerģijas patēriņa pirms projekta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Labklājības ministrijas valdījumā esošajās ēkās, kurās plānots īstenot energoefektivitātes pasākumus tiek sniegti ilgstošas sociālās aprūpes un sociālās rehabilitācijas pakalpojumi bērniem bāreņiem un bez vecāku gādības palikušiem bērniem, bērniem ar fiziskās un garīgās attīstības traucējumiem, bērniem invalīdiem ar smagiem garīgās attīstības traucējumiem,  un pilngadīgām personām ar smagiem garīga rakstura traucējumiem, nodrošinot pakalpojumu nepārtraukti visu diennakti (24/7), atšķiras no biroja ēkām un ēkām, kurās pakalpojums netiek sniegts visu diennakti, Labklājības ministrija uztur iepriekš izteikto iebildumu, nosakot, ka sasniedzamais rādītājs – 30% primārās enerģijas ietaupījumu nosaka ievērojot to, kā ir iesniegts projekts (skat 17.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sasniedzamais rādītājs – 30 % primārās enerģijas ietaupījums ir vidējais sasniedzamais rādītājs pasākumu ietvaros atbalstītās kopējas ēku grupas, kas atrodas vienā adresē, vai ēku grupas, kas atrodas dažādās adresēs, ja tās ir funkcionāli saistītas, vai vienas iestādes vairākām filiālēm.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līdz 2029. gada 31. decembrim pasākumu ietvaros sasniedzamais rezultāta nacionālais rādītājs – vismaz 30 % primārās enerģijas ietaupījumu no attiecīgās pasākumu ietvaros atbalstītās ēkas vai kopējas ēku grupas, kas atrodas vienā adresē, vai ēku grupas, kas atrodas dažādās adresēs, ja tās ir funkcionāli saistītas, vai vienas iestādes vairākām filiālēm, atbilstoši tam, kā finansējuma saņēmējs ir iesniedzis projektu, primārās enerģijas patēriņa pirms projekta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Bluķis (Šampētera nams)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2.1.1. specifiskā atbalsta mērķa "Energoefektivitātes veicināšana un siltumnīcefekta gāzu emisiju samazināšana" 2.1.1.4.pasākuma "Energoefektivitātes paaugstināšana valsts ēkās" projektu iesniedzēji un finansējuma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pielikuma 1. punkta sadaļā "Finansējuma saņēmējs" informāciju par Labklājības ministriju, papildinot to ar Labklājības ministrijas pārraudzības, padotības iestādēm un tās kapitālsabiedrību VSIA "Šampētera nams".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tās pārraudzības, padotības iestādes un kapitālsabiedrība VSIA "Šampētera nams".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Aivis Lapinskis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Labklājības ministrijai kā 2.1.1.4. pasākuma plānotajam finansējuma saņēmējam 2024. gadā līdz 6 790 216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realizācija ir sākuma stadijā un ir veiktas tikai atsevišķas aktivitātēs, piemēram, energosertifikātu izstrāde, šāda apjoma finansējuma apguve 2024. gadā nav iespējama. Protokollēmumā norādītais 2024. gads būtu aizstājams ar 2025. gadu.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Bluķis (Šampētera nams)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iesniedzēji, kas minēti šo noteikumu pielikuma 2. līdz 5.pinktam un 8.punktā, saņem apliecinājumu no ministrijas vai attiecīgās kapitālsabiedrības kapitāla daļu turētāja par atļauju īstenot projektu. Apliecinājumā ir norādīta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Labklājības ministrijas iebildumu pie noteikumu projekta pielikuma pirmā punkta, lūdzam pēc tā izvērtēšanas attiecīgi precizēt noteikumu projekta 18. punktu un papildināt šo punktu ar atsauci uz pielikuma 1. un 11. punktu, kur minēta Labklājības ministrija un Zemkopības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iesniedzēji, kas minēti šo noteikumu pielikuma 1. līdz 5. punktam, 8. un 11.punktā, saņem apliecinājumu no ministrijas vai attiecīgās kapitālsabiedrības kapitāla daļu turētāja par atļauju īstenot projektu. Apliecinājumā ir norādīta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Aivis Lapinskis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01.10.2024. 17.31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01.10.2024. 17.31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Atzinumi_24-TA-1380.docx</dc:title>
</cp:coreProperties>
</file>

<file path=docProps/custom.xml><?xml version="1.0" encoding="utf-8"?>
<Properties xmlns="http://schemas.openxmlformats.org/officeDocument/2006/custom-properties" xmlns:vt="http://schemas.openxmlformats.org/officeDocument/2006/docPropsVTypes"/>
</file>