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 kas pieņēmusi Patērētāju tiesību aizsardzības likuma 26.</w:t>
            </w:r>
            <w:r w:rsidR="00000000" w:rsidRPr="00000000" w:rsidDel="00000000">
              <w:rPr>
                <w:vertAlign w:val="superscript"/>
                <w:rtl w:val="0"/>
              </w:rPr>
              <w:t xml:space="preserve">15</w:t>
            </w:r>
            <w:r w:rsidR="00000000" w:rsidRPr="00000000" w:rsidDel="00000000">
              <w:rPr>
                <w:rtl w:val="0"/>
              </w:rPr>
              <w:t xml:space="preserve"> panta piektajā daļā vai likuma “Par atbilstības novērtēšanu” 9.</w:t>
            </w:r>
            <w:r w:rsidR="00000000" w:rsidRPr="00000000" w:rsidDel="00000000">
              <w:rPr>
                <w:vertAlign w:val="superscript"/>
                <w:rtl w:val="0"/>
              </w:rPr>
              <w:t xml:space="preserve">7</w:t>
            </w:r>
            <w:r w:rsidR="00000000" w:rsidRPr="00000000" w:rsidDel="00000000">
              <w:rPr>
                <w:rtl w:val="0"/>
              </w:rPr>
              <w:t xml:space="preserve"> panta trešajā daļā minēto lēmumu, pēc lēmuma paziņošanas adresātam ir tiesīga lēmumā vai tā pielikumā norādīto informāciju ievietot iestādes uzturētajā mašīnlasāmajā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vārdi "lēmumā vai tā pielikumā norādīto informāciju" ļauj ievietot iestādes tīmekļvietnē jebkuru informāciju, kas minēta lēmumā vai lēmuma pielikumā, tostarp,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2.punkta redakciju, nosakot, ka iestāde ir tiesīga ievietot iestādes tīmekļvietnē  informāciju, nodrošinot, ka netiek publicēti personas dati. Piemēram, Izložu un azartspēļu uzraudzības inspekcijas tīmekļvietnē ir ievietots teksta fails tikai ar bloķētajiem domēniem.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Ušča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