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23-TA-2953: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2.2. reformu un investīciju virziena “Uzņēmumu digitālā transformācija un inovācijas” 2.2.1.5.i. investīcijas “Mediju nozares uzņēmumu digitālās transformācijas veicināšana” pasākuma “Mediju nozares uzņēmumu procesu modernizēšana”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mērķrādītājs ir līdz 2026. gada 30. jūnijam izveidotas vismaz trīs digitālās platformas vai digitālie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5.1.apakšpunktu, nosakot, ka rādītājs “izveidotas trīs mediju nozares digitālās platformas vai digitālie risinājumi” ir jāizpilda līdz 2025.gada 30.jūnijam (saskaņā ar Padomes īstenošanas lēmuma par Latvijas atveseļošanas un noturības plāna novērtējuma apstiprināšanu mērķrādītāju Nr.53).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arī noteikumu projekta 12.punktu, nosakot, ka Atveseļošanas fonda izdevumu attiecināmības termiņš ir no līguma par projekta īstenošanu noslēgšanas līdz 2025. gada 30. jūnijam. Atbilstoši lūdzam precizēt arī noteikumu projekta 38.punktu un anotācijas 1.3.sadaļu un 3.sadaļu.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Investīcijas pasākuma ietvaros projektu īstenošanai pieejamais Atveseļošanas fonda finansējums viena projekta īstenošanai nepārsniedz 750 000 </w:t>
            </w:r>
            <w:r w:rsidR="00000000" w:rsidRPr="00000000" w:rsidDel="00000000">
              <w:rPr>
                <w:i w:val="1"/>
                <w:rtl w:val="0"/>
              </w:rPr>
              <w:t xml:space="preserve">euro</w:t>
            </w:r>
            <w:r w:rsidR="00000000" w:rsidRPr="00000000" w:rsidDel="00000000">
              <w:rPr>
                <w:rtl w:val="0"/>
              </w:rPr>
              <w:t xml:space="preserve">. Viena juridiska persona var iesniegt vienu projekta iesniegumu. Projekta īstenošana var būt vairāku darbību kopums, kas veicina projekta iesniedzēja uzņēmuma digitalizāciju.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noteikumu projekta 19. punktu projektu iesniedzēji var būt ne tikai juridiskas personas, bet arī personālsasbiedrības un fiziskas personas, lūdzam precizēt noteikumu projekta 8. punkta otro teikumu, paredzot, ka viens projekta iesniedzējs var iesniegt vienu projekta iesniegumu. Pretējā gadījumā uz fiziskām personām un personālsabiedrībām šis ierobežojums neattieksies.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iesniedzējs ir juridiska persona, personālsabiedrība vai fiziska persona, kas vismaz divus gadus pirms projekta iesniegšanas ir reģistrēts Latvijas Republikas Uzņēmumu reģistrā un kura: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fiziskas personas lielākoties nebūs reģistrētas Latvijas republikas Uzņēmumu reģistrā, nepārportamības nolūkos aicinām precizēt 19. punktu un izteikt piedāvātajā redakcijā (lūdzam izvērtēt, piedāvātās redakcijas atbilstību nozares ministrijas iecerei par atbalsta saņēmējiem, tostarp vai piedāvātās redakcijas 19.2. apakšpunktā noteiktajai fiziskajai personai nav izvirzāmas vēl kādas striktākas prasības - piederošo kapitāldaļu īpatsvars,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Atbilstošus precizējumus lūdzam veikt arī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var 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juridiska persona vai personālsabiedrība, kas vismaz divus gadus pirms projekta iesniegšanas ir reģistrēts Latvijas Republikas Uzņēmumu reģistrā un kura atbilst visām tālākminētajām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 tās kapitāldaļu turētāji vai biedri ir masu informācijas līdzekļu īpašnieki;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 tā nav sabiedriskais elektroniskais plašsaziņas 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19.1.3. tā nav pilnībā vai daļēji piederoša publiskai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fiziska persona, kas 19.1. apakšpunktam atbilstošas juridiskas personas vai personālsabiedrības kapitāldaļu turētājs vai biedrs.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21.3.2. apvieno masu informācijas līdzekļu īpašniekus;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skaidrojumu, ka ar personu, kas apvieno  masu informācijas līdzekļu īpašniekus, šajā investīcijā tiek saprasta mediju nozares asociācija (vai citādu skaidrojumu, ja minētais neatbilst nozares ministrijas izpratnei par personu, kas apvieno masu informācijas līdzekļu īpašniekus).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finansējuma saņēmējs avansa maksājumu var saņemt, ja ir atvēris kontu Valsts kasē vai darījumu kontu Latvijas Republikā reģistrētā kredītiestādē vai Eiropas Savienībā reģistrētā kredītiestādē, kas ir izsniegusi bankas garantiju par labu aģentūrai, iesniedzot pieprasījumu avansa maksājumam, tas nepārsniedz 30 procentus no projekta kopējām attiecināmajām izmaksām. Finansējuma saņēmējs var saņemt vairākus avansus, paredzot, ka nākamo avansu var saņemt pēc tam, kad iepriekšējais saņemtais avanss ir apgūts pilnā apmērā un ir sagatavots digitalizācijas risinājumu, ko plānots iegādāties, detalizēts apraksts un tehniskā specifikācija;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avansa saņemšanas nosacījumus un sasaistīt tos ar projekta ietvaros sasniedzamo mērķi. Lūdzam izvērtēt iespēju noteikt posmus digitālo platformu vai digitālo risinājumu izstrādei, kurus izpildot, finansējuma saņēmēji varēs saņemt kārtējo starpposma vai avansa maksājumu.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naudas plūsmu, investīcijas ieviešanas nosacījumos var norādīt konkrētu termiņu, kādā jāsasniedz attiecīgais atskaites punkts, izmantojot saņemto avansu, un kārtība, kādā tas atmaksājams, ja attiecīgais atskaites punkts konkrētajā termiņā netiek sasniegts.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Aģentūrai un Kultūras ministrijai 2.2.1.5.i. investīcijas pasākuma īstenošanai un uzraudzībai šo noteikumu ietvaros ir tiesības pieprasīt un saņemt informāciju no valsts informācijas sistēmām normatīvajos aktos par valsts informācijas sistēmām noteiktajā apjomā. Lai nodrošinātu pieeju datiem, aģentūra vai Kultūras ministrija, ja nepieciešams, slēdz vienošanos ar attiecīgās valsts informācijas sistēmas, datubāzes vai reģistra pārzini.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skaidrojot kādām valsts informācijas sistēmām ir nepieciešama piekļuve Kultūras ministrijai, tāpat lūdzam norādīt konkrētu datu lauku nosaukumus un pamatojumu (katram datu laukam), kādam nolūkam šie dati ir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šo noteikumu projektu saskaņot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izvērtēt, vai noteikt kritēriju Nr. 2.1. kā neprecizējamu (esošajā redakcijā/saturā) nav pārlieku strikta prasība. Samērīguma nolūkos būtu pieļaujams sadarbības partnera neatbilstības gadījumā šo partneri aizstāt ar citu, tādēļ rosinām kritēriju sadalīt divos atsevišķos kritērijos, no kuriem kritērijs par projekta iesniedzēja atbilstību ir neprecizējams, bet kritērijs par sadarbības partnera atbilstību –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vispārīgā atbilstības kritērija Nr. 2.1. redakciju, ņemot vērā, ka projekta iesniegumā norādītajam mērķim nebūs noteikta vērtība – vērtības būs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izvērtēt, vai vispārīgās atbilstības kritērijs Nr. 2.4. nav attiecināms arī uz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iesniegt kritērija Nr. 2.8., piemērošanas skaidrojuma melnrakstu, jo šobrīd nerodas izpratne par kritērija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lūdzam izvērtēt, vai specifiskais atbilstības kritērijs Nr. 3.3. nav nosakāms kā neprecizējams – gadījumā, ja ceļa karte nebūs izstrādāta, projekta iesnieguma tālāka vērtēšana nav lietderīga, jo nebūs iespējams pilnvērtīgi izvērtēt iesnieguma atbilstību kvalitātes kritērijiem (piemēram, kvalitātes kritērijam 4.5.).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paustu visaptverošu vērtējumu par kvalitātes kritērijiem, lūdzam iesniegt vismaz šo kritēriju piemērošanas skaidrojumu iestrādes. Šobrīd punktu piešķiršanas skala paredz vērtēt, vai projekta iesniegumā sniegtā informācija apliecina dažādu aspektu sasniegšanu, bet nav viennozīmīgi nolasāms, kā tieši to apliecināt, līdz ar ko pastāv augsts subjektivitātes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vērtēšanas komisijā iesaistāmā tehnoloģiju eksperta balsstiesības. Ja tehnoloģiju ekspertam balsstiesības nav paredzētas, tad nav saprotama šī eksperta loma – aģentūras ieskatā ekspertam būtu nosakāmas balsstiesības, un gadījumā, ja eksperts iesaistāms tikai atsevišķu kritēriju vērtēšanā, atlases nolikumā paredzēt šī eksperta iesaistes robežas.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23-TA-2953</w:t>
    </w:r>
    <w:r>
      <w:br/>
    </w:r>
    <w:r w:rsidR="00000000" w:rsidRPr="00000000" w:rsidDel="00000000">
      <w:rPr>
        <w:rtl w:val="0"/>
      </w:rPr>
      <w:t xml:space="preserve">Izdrukāts 27.12.2023. 10.32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23-TA-2953</w:t>
    </w:r>
    <w:r>
      <w:br/>
    </w:r>
    <w:r w:rsidR="00000000" w:rsidRPr="00000000" w:rsidDel="00000000">
      <w:rPr>
        <w:rtl w:val="0"/>
      </w:rPr>
      <w:t xml:space="preserve">Izdrukāts 27.12.2023. 10.32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Atzinumi_23-TA-2953.docx</dc:title>
</cp:coreProperties>
</file>

<file path=docProps/custom.xml><?xml version="1.0" encoding="utf-8"?>
<Properties xmlns="http://schemas.openxmlformats.org/officeDocument/2006/custom-properties" xmlns:vt="http://schemas.openxmlformats.org/officeDocument/2006/docPropsVTypes"/>
</file>