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337 "Skrepi slimības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ņemot vērā, ka finansējums transmisīvo sūkļveida encefalopātiju kontroles un apkarošanas pasākumu īstenošanai 2024.gadā un turpmākos gadus ir ieplānots Zemkopības ministrijas budžeta apakšprogrammas 70.06.00 "Izdevumi citu Eiropas Savienības politiku instrumentu projektu un pasākumu īstenošanai" pasākuma “Uzraudzības pasākumi pārtikas un dzīvnieku barības nekaitīguma jomā” finansējuma 1 360 850 </w:t>
            </w:r>
            <w:r w:rsidR="00000000" w:rsidRPr="00000000" w:rsidDel="00000000">
              <w:rPr>
                <w:i w:val="1"/>
                <w:rtl w:val="0"/>
              </w:rPr>
              <w:t xml:space="preserve">euro </w:t>
            </w:r>
            <w:r w:rsidR="00000000" w:rsidRPr="00000000" w:rsidDel="00000000">
              <w:rPr>
                <w:rtl w:val="0"/>
              </w:rPr>
              <w:t xml:space="preserve">ietvaros, attiecīgi, ja TAP nav ietekmes uz budžetu, tad 6.1. un 6.2. p. nav jāaizpilda un pie "Cita informācija" nepieciešams atbilstoši iepriekš norādītajam precizēt sniegto informāciju par attiecīgās infekcijas slimības kontroles un apkarošanas pasākumam ieplānoto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19.04.2024.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19.04.2024.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Atzinumi_23-TA-1453.docx</dc:title>
</cp:coreProperties>
</file>

<file path=docProps/custom.xml><?xml version="1.0" encoding="utf-8"?>
<Properties xmlns="http://schemas.openxmlformats.org/officeDocument/2006/custom-properties" xmlns:vt="http://schemas.openxmlformats.org/officeDocument/2006/docPropsVTypes"/>
</file>