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Noziedzīgi iegūtas mantas konfiskācijas izpildes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kas tiek plānots Tieslietu ministrijas pamatbudžeta programmā "Noziedzīgi iegūtu līdzekļu konfiskācijas fonds", tiek pārdalīts citām institūcijām, un izdevumi rodas pasākumu ieviesējiem, tajā skaitā, Iekšlietu ministrijai, nevis Tieslietu ministrijai. Tādējādi, anotācijā norādītais grozījumu mērķis -  veikt Tieslietu ministrijas izdevumu samazinājumu, pēc būtības nav precīzi definēts.  Vienlaikus vēršam uzmanību, ka, veicot izvērtējumu un  secinot, ka, uz četriem gadiem apturot Tieslietu ministrijas pamatbudžeta programmas "Noziedzīgi iegūtu līdzekļu konfiskācijas fonds" darbību, iespējams samazināt izdevumus par kopumā 8 miljoniem </w:t>
            </w:r>
            <w:r w:rsidR="00000000" w:rsidRPr="00000000" w:rsidDel="00000000">
              <w:rPr>
                <w:i w:val="1"/>
                <w:rtl w:val="0"/>
              </w:rPr>
              <w:t xml:space="preserve">euro</w:t>
            </w:r>
            <w:r w:rsidR="00000000" w:rsidRPr="00000000" w:rsidDel="00000000">
              <w:rPr>
                <w:rtl w:val="0"/>
              </w:rPr>
              <w:t xml:space="preserve">, Tieslietu ministrija nav konsultējusies ar Iekšlietu ministriju, kas saņem ievērojamu šīs programmas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ministrijas padotības iestāžu darbība nodrošina valsts budžetā ieņēmumus saistībā ar darbībām ar noziedzīgi iegūto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  ieņēmumi no konfiscēto noziedzīgi iegūto līdzekļu realizācijas (kods 12.1.6.1.) 2021.gadā 64 467 845 </w:t>
            </w:r>
            <w:r w:rsidR="00000000" w:rsidRPr="00000000" w:rsidDel="00000000">
              <w:rPr>
                <w:i w:val="1"/>
                <w:rtl w:val="0"/>
              </w:rPr>
              <w:t xml:space="preserve">euro</w:t>
            </w:r>
            <w:r w:rsidR="00000000" w:rsidRPr="00000000" w:rsidDel="00000000">
              <w:rPr>
                <w:rtl w:val="0"/>
              </w:rPr>
              <w:t xml:space="preserve">, 2022.gadā 54 934 596 </w:t>
            </w:r>
            <w:r w:rsidR="00000000" w:rsidRPr="00000000" w:rsidDel="00000000">
              <w:rPr>
                <w:i w:val="1"/>
                <w:rtl w:val="0"/>
              </w:rPr>
              <w:t xml:space="preserve">euro</w:t>
            </w:r>
            <w:r w:rsidR="00000000" w:rsidRPr="00000000" w:rsidDel="00000000">
              <w:rPr>
                <w:rtl w:val="0"/>
              </w:rPr>
              <w:t xml:space="preserve">, 2024.gadā 43 166 143 </w:t>
            </w:r>
            <w:r w:rsidR="00000000" w:rsidRPr="00000000" w:rsidDel="00000000">
              <w:rPr>
                <w:i w:val="1"/>
                <w:rtl w:val="0"/>
              </w:rPr>
              <w:t xml:space="preserve">euro</w:t>
            </w:r>
            <w:r w:rsidR="00000000" w:rsidRPr="00000000" w:rsidDel="00000000">
              <w:rPr>
                <w:rtl w:val="0"/>
              </w:rPr>
              <w:t xml:space="preserve">, 2025.gadā (uz 30.06.2025.) 9 105 695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Noziedzības novēršanas padomes 2024.gada 11.aprīļa sēdes protokola Nr.23 1.§ 3. un 4.punktam tika  atbalstīta Tieslietu ministrijas pamatbudžeta programmā "Noziedzīgi iegūtu līdzekļu konfiskācijas fonds"  piešķiramo līdzekļu apmēra palielināšana līdz pieciem miljoniem </w:t>
            </w:r>
            <w:r w:rsidR="00000000" w:rsidRPr="00000000" w:rsidDel="00000000">
              <w:rPr>
                <w:i w:val="1"/>
                <w:rtl w:val="0"/>
              </w:rPr>
              <w:t xml:space="preserve">euro</w:t>
            </w:r>
            <w:r w:rsidR="00000000" w:rsidRPr="00000000" w:rsidDel="00000000">
              <w:rPr>
                <w:rtl w:val="0"/>
              </w:rPr>
              <w:t xml:space="preserve"> saimnieciskajā gadā un Tieslietu ministrijai uzdots virzīt attiecīgos grozījumus Noziedzīgi iegūtas mantas konfiskācijas izpildes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Noziedzības novēršanas padomes lēmumiem Iekšlietu ministrijas padotības iestādēm (Valsts policijai, Valsts robežsardzei, Iekšlietu ministrijas Informācijas centram, Iekšējās drošības birojam) un Finanšu izlūkošanas dienestam ik gadu no Noziedzīgi iegūtu līdzekļu konfiskācijas fonda  (turpmāk - Fonds) tiek piešķirts finansējums vismaz 1 miljona </w:t>
            </w:r>
            <w:r w:rsidR="00000000" w:rsidRPr="00000000" w:rsidDel="00000000">
              <w:rPr>
                <w:i w:val="1"/>
                <w:rtl w:val="0"/>
              </w:rPr>
              <w:t xml:space="preserve">euro </w:t>
            </w:r>
            <w:r w:rsidR="00000000" w:rsidRPr="00000000" w:rsidDel="00000000">
              <w:rPr>
                <w:rtl w:val="0"/>
              </w:rPr>
              <w:t xml:space="preserve">apmērā (piemēram, 2025.gadā 1 266 373 </w:t>
            </w:r>
            <w:r w:rsidR="00000000" w:rsidRPr="00000000" w:rsidDel="00000000">
              <w:rPr>
                <w:i w:val="1"/>
                <w:rtl w:val="0"/>
              </w:rPr>
              <w:t xml:space="preserve">eur</w:t>
            </w:r>
            <w:r w:rsidR="00000000" w:rsidRPr="00000000" w:rsidDel="00000000">
              <w:rPr>
                <w:rtl w:val="0"/>
              </w:rPr>
              <w:t xml:space="preserve">o, 2024.gadā 1 122 791 </w:t>
            </w:r>
            <w:r w:rsidR="00000000" w:rsidRPr="00000000" w:rsidDel="00000000">
              <w:rPr>
                <w:i w:val="1"/>
                <w:rtl w:val="0"/>
              </w:rPr>
              <w:t xml:space="preserve">euro</w:t>
            </w:r>
            <w:r w:rsidR="00000000" w:rsidRPr="00000000" w:rsidDel="00000000">
              <w:rPr>
                <w:rtl w:val="0"/>
              </w:rPr>
              <w:t xml:space="preserve">, 2023.gadā 1 504 108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2025.gada 26.augusta sēdē nolemto (prot. Nr.33 53.§ 14.punkts – 7.pielikums) Iekšlietu ministrijai plānots izdevumu samazinājums 521 275 </w:t>
            </w:r>
            <w:r w:rsidR="00000000" w:rsidRPr="00000000" w:rsidDel="00000000">
              <w:rPr>
                <w:i w:val="1"/>
                <w:rtl w:val="0"/>
              </w:rPr>
              <w:t xml:space="preserve">euro</w:t>
            </w:r>
            <w:r w:rsidR="00000000" w:rsidRPr="00000000" w:rsidDel="00000000">
              <w:rPr>
                <w:rtl w:val="0"/>
              </w:rPr>
              <w:t xml:space="preserve">. Gadījumā, ja Fonds tiek iesaldēts, faktiski Iekšlietu ministrijas izdevumi ik gadu tiek samazināti par 1,7 līdz 2,0 milj. </w:t>
            </w:r>
            <w:r w:rsidR="00000000" w:rsidRPr="00000000" w:rsidDel="00000000">
              <w:rPr>
                <w:i w:val="1"/>
                <w:rtl w:val="0"/>
              </w:rPr>
              <w:t xml:space="preserve">eur</w:t>
            </w:r>
            <w:r w:rsidR="00000000" w:rsidRPr="00000000" w:rsidDel="00000000">
              <w:rPr>
                <w:rtl w:val="0"/>
              </w:rPr>
              <w:t xml:space="preserve">o, ievērojot arī to, ka valsts drošība ir viena no vidēja termiņa (2025. – 2027.)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Noziedzīgi iegūtas mantas konfiskācijas izpildes likuma (turpmāk - Likums) 45.panta darbības apturēšana ir stipri plašāks tiesisko seku tvērums, nekā Fonda iesaldēšana, kā tas ir paredzēts informatīvajā ziņojumā "Par valsts pamatbudžeta un valsts speciālā budžeta bāzi un izdevumu pārskatīšanas rezultātiem 2026., 2027., 2028. un 2029.gadam" (turpmāk - Informatīvais ziņojums). Turklāt likumprojekta anotācijā nav minēta ietekme uz citu Ministru kabineta 2017.gada 19.decembra  noteikumu Nr.769 "Tieslietu ministrijas pamatbudžeta programmas "Noziedzīgi iegūtu līdzekļu konfiskācijas fonds" finanšu līdzekļu izmantošanas kārtība" (turpmāk - MK noteikumi) 6.punktā minēto institūciju budžetiem un plānotajiem pasākumiem, kuru finansēšana paredzēta no fonda līdzekļiem, proti, MK noteikumu 6.punktā ir noteikts, ka, ja fonda programmas kontā pieejamie līdzekļi pārsniedz 300 000 </w:t>
            </w:r>
            <w:r w:rsidR="00000000" w:rsidRPr="00000000" w:rsidDel="00000000">
              <w:rPr>
                <w:i w:val="1"/>
                <w:rtl w:val="0"/>
              </w:rPr>
              <w:t xml:space="preserve">euro</w:t>
            </w:r>
            <w:r w:rsidR="00000000" w:rsidRPr="00000000" w:rsidDel="00000000">
              <w:rPr>
                <w:rtl w:val="0"/>
              </w:rPr>
              <w:t xml:space="preserve"> (ieskaitot iepriekšējo gadu atlikumu), Tieslietu ministrija nosūta uzaicinājumu tās noteiktajā termiņā iesniegt pieteikumu līdzekļu izmantošanai (turpmāk – pieteikums) šādām institūcijām: Iekšlietu ministrijai, prokuratūrai, Korupcijas novēršanas un apkarošanas birojam, Finanšu ministrijai, Izglītības un zinātnes ministrijai, Labklājības ministrijai un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ir izveidots, lai stiprinātu valsts spēju efektīvi apkarot finanšu un ekonomiskos noziegumus un nodrošinātu atbalstu noziedzīgos nodarījumos cietušajiem. Likuma 45.panta apturēšana uz četriem gadiem nozīmētu, ka MK noteikumu 6.punktā minētajām iestādēm nebūtu pieejami papildu resursi jaunu tehnoloģiju, speciālo apmācību un kapacitātes stiprināšanai, kas tieši korelē ar spēju paaugstināšanu finanšu noziegumu apkarošanā, jo mūsdienu finanšu un ekonomisko noziegumu apkarošana ir cieši saistīta ar jaunāko tehnoloģiju risinājumu ieviešanu, kas prasa būtiskus ieguldījumus. Tāpat svarīgi saglabāt Fonda līdzekļu pieejamību atbalsta mehānismu cietušajiem nodrošināšanai, jo apturot Fonda līdzekļu pieejamību arī šim mērķim, tas vairs nebūtu jautājums tikai par valsts izdevumu efektivizāciju, bet gan par būtisku ietekmi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Informatīvajā ziņojumā noteikto, secināms, ka laika posmā no 2022. līdz 2024.gadam programmas izsludinātais plāns bijis stabils, bet katrā gadā izdevumu plāns ticis precizēts, to palielinot. Tas rāda, ka pieprasījums pārsniedz sākotnēji plānoto apjomu, vidējā neizpilde ir tikai 0,2 milj. </w:t>
            </w:r>
            <w:r w:rsidR="00000000" w:rsidRPr="00000000" w:rsidDel="00000000">
              <w:rPr>
                <w:i w:val="1"/>
                <w:rtl w:val="0"/>
              </w:rPr>
              <w:t xml:space="preserve">euro</w:t>
            </w:r>
            <w:r w:rsidR="00000000" w:rsidRPr="00000000" w:rsidDel="00000000">
              <w:rPr>
                <w:rtl w:val="0"/>
              </w:rPr>
              <w:t xml:space="preserve"> gadā un tā saistīta ar tehniskiem iemesliem, piemēram, finansējuma pārskaitījumiem gada beigās. Arī vidējais darbības rezultātu rādītāju izpildes līmenis ik gadu pieaug, 2024.gadā sasniedzot 100%. Tas apliecina, ka piešķirtie līdzekļi tiek izmantoti efektīvi un sasniedz mērķus. Tādējādi secināms, ka Fonda darbības apturēšana ir īstermiņa ieguvums, jo Fonda līdzekļu izmantošana ir viens no instrumentiem, kas paaugstina publiskā sektora efektivitāti, nodrošinot mērķētu finansējumu izmeklēšanas un cietušo aizsardzības kapacitātes paaugstināšanai un, apturot Fonda darbību, samazinātos arī iespējamās budžeta iemaksas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policijai Fonds ir būtisks stratēģiskais instruments, lai Valsts policijā ieviestu un uzturētu jaunās tehnoloģijas noziedzības novēršanai un apkarošanai. Ņemot vērā strauji mainīgās tehnoloģiskās iespējas, kas tiek izmantotas noziedzīgajā vidē, kā arī noziegumu transformāciju kibervidē, tādējādi paātrinot noziedzīgās darbības (krāpnieku zvanu centri, viltus investīciju platformas, bezskaidras naudas un kriptovalūtas darījumi), svarīgi ir reaģēt nekavējoties, lai nodrošinātu pēc iespējas pilnīgāku pierādījumu saglabāšanu un to kvalitatīvu izpēti. Pierādījumu apjoms kriminālprocesu izmeklēšanā turpina pieaugt, attīstās tehnoloģiskās iespējas, kas rada nepieciešamību attīstīt Valsts policijas spējas ekonomisko noziegumu atklāšanai un izmeklēšanai. Nepietiekošas Valsts policijas tehniskās kapacitātes attīstība būtiski ietekmēs noziedzības apkarošanu kopumā, jo īpaši ekonomisko noziegumu atklāšanu, t.sk., noziedzīgi iegūto līdzekļu identificēšanu un konfiskāciju, kas savukārt radīs būtisku negatīvu ietekmi ne tikai uz valsts budžetu kopumā, bet tiks apdraudēta valsts ekonomiskās sistēmas stabilitāte, kas papildus radīs negatīvu ietekmi arī uz cietušajiem.  Tā, piemēram, 2024.gadā  Valsts policija uzlika arestu noziedzīgi iegūtai mantai 98 806 924 </w:t>
            </w:r>
            <w:r w:rsidR="00000000" w:rsidRPr="00000000" w:rsidDel="00000000">
              <w:rPr>
                <w:i w:val="1"/>
                <w:rtl w:val="0"/>
              </w:rPr>
              <w:t xml:space="preserve">euro</w:t>
            </w:r>
            <w:r w:rsidR="00000000" w:rsidRPr="00000000" w:rsidDel="00000000">
              <w:rPr>
                <w:rtl w:val="0"/>
              </w:rPr>
              <w:t xml:space="preserve"> apmērā,  konfiskācijai nodota noziedzīgi iegūta manta 37 507 788 </w:t>
            </w:r>
            <w:r w:rsidR="00000000" w:rsidRPr="00000000" w:rsidDel="00000000">
              <w:rPr>
                <w:i w:val="1"/>
                <w:rtl w:val="0"/>
              </w:rPr>
              <w:t xml:space="preserve">euro</w:t>
            </w:r>
            <w:r w:rsidR="00000000" w:rsidRPr="00000000" w:rsidDel="00000000">
              <w:rPr>
                <w:rtl w:val="0"/>
              </w:rPr>
              <w:t xml:space="preserve"> apmērā, no kuras ieskaitīti valsts budžetā – 25 305 704 </w:t>
            </w:r>
            <w:r w:rsidR="00000000" w:rsidRPr="00000000" w:rsidDel="00000000">
              <w:rPr>
                <w:i w:val="1"/>
                <w:rtl w:val="0"/>
              </w:rPr>
              <w:t xml:space="preserve">euro</w:t>
            </w:r>
            <w:r w:rsidR="00000000" w:rsidRPr="00000000" w:rsidDel="00000000">
              <w:rPr>
                <w:rtl w:val="0"/>
              </w:rPr>
              <w:t xml:space="preserve">, savukārt īpašniekiem atgriezti – 12 202 084 </w:t>
            </w:r>
            <w:r w:rsidR="00000000" w:rsidRPr="00000000" w:rsidDel="00000000">
              <w:rPr>
                <w:i w:val="1"/>
                <w:rtl w:val="0"/>
              </w:rPr>
              <w:t xml:space="preserve">euro</w:t>
            </w:r>
            <w:r w:rsidR="00000000" w:rsidRPr="00000000" w:rsidDel="00000000">
              <w:rPr>
                <w:rtl w:val="0"/>
              </w:rPr>
              <w:t xml:space="preserve">. Ar likumprojektu netiks sasniegts plānotais valsts budžeta ekonomijas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izskatīt Iekšlietu ministrijas priekšlikumu un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25-TA-2093</w:t>
    </w:r>
    <w:r>
      <w:br/>
    </w:r>
    <w:r w:rsidR="00000000" w:rsidRPr="00000000" w:rsidDel="00000000">
      <w:rPr>
        <w:rtl w:val="0"/>
      </w:rPr>
      <w:t xml:space="preserve">Izdrukāts 15.09.2025.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25-TA-2093</w:t>
    </w:r>
    <w:r>
      <w:br/>
    </w:r>
    <w:r w:rsidR="00000000" w:rsidRPr="00000000" w:rsidDel="00000000">
      <w:rPr>
        <w:rtl w:val="0"/>
      </w:rPr>
      <w:t xml:space="preserve">Izdrukāts 15.09.2025.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Atzinumi_25-TA-2093.docx</dc:title>
</cp:coreProperties>
</file>

<file path=docProps/custom.xml><?xml version="1.0" encoding="utf-8"?>
<Properties xmlns="http://schemas.openxmlformats.org/officeDocument/2006/custom-properties" xmlns:vt="http://schemas.openxmlformats.org/officeDocument/2006/docPropsVTypes"/>
</file>