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papildināt noteikumu projekta anotācijas 1.3. sadaļu ar skaidrojumu par noteikumu projekta 4., 5., 8. un 9. punktu, skaidrojot ne vien attiecīgo grozījumu būtību, bet arī nepieciešamību un mērķi (piemēram, bet ne tikai, skaidrojot pamatojumu Ministru kabineta 2023. gada 18. aprīļa noteikumos Nr. 198 "Tiešo maksājumu piešķiršanas kārtība lauksaimniekiem" (turpmāk - noteikumi Nr. 198) 141.5 apakšpunktā noteiktajam termiņam, līdz kuram saglabājams zālāju pasējs (līdz 31. oktobrim)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kritēriji aktīva lauksaimnieka noteikšanai ietverti Eiropas Parlamenta un Padomes 2021. gada 2. decembra Regulā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(sk. 4. panta 5. punktu), lūdzam, pamatojoties uz noteikumu Nr. 617 9.19. apakšpunktu, papildināt noteikumu projekta anotācijas 5. sadaļu ar izvērstu skaidrojumu par minētās regulas 4. panta 5. punktā ietverto kritēriju ieviešanu noteikumu projekta 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Ja lauksaimnieka īpašumā vai lietošanā esošā aramzeme atrodas šo noteikumu </w:t>
            </w:r>
            <w:r w:rsidR="00000000" w:rsidRPr="00000000" w:rsidDel="00000000">
              <w:rPr>
                <w:rtl w:val="0"/>
              </w:rPr>
              <w:t xml:space="preserve">133.3.</w:t>
            </w:r>
            <w:r w:rsidR="00000000" w:rsidRPr="00000000" w:rsidDel="00000000">
              <w:rPr>
                <w:rtl w:val="0"/>
              </w:rPr>
              <w:t xml:space="preserve"> apakšpunktā</w:t>
            </w:r>
            <w:r w:rsidR="00000000" w:rsidRPr="00000000" w:rsidDel="00000000">
              <w:rPr>
                <w:rtl w:val="0"/>
              </w:rPr>
              <w:t xml:space="preserve"> minētajās teritorijās, teritorijai noteikto prasību robežvērtību attiecina uz to lauksaimnieka aramzemes daļu, kas atrodas attiecīgajā teritorijā. Ja saimniecībā kopumā tiek nodrošināta augstākā augsnes pārklājuma robežvērtība, kas noteikta kādai no teritorijām, kurā atrodas saimniecības aramzemes platības, tad tiek uzskatīts, ka prasība ir izpildīta.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punktā vai tā anotācijā skaidrot, vai attiecīgajā normā (noteikumu Nr. 198 137. punktā) ietvertais regulējums attiecināms uz situācijām, kad noteikumu Nr. 198 133.3. apakšpunktā minētajās teritorijās katrai ir noteiktas atšķirīgas prasību robežvērtības, nepieciešamības gadījumā vienveidojot noteikumu projektā ietverto normu izteiksmi. Vēršam uzmanību, ka noteikumu projekta 3. punktā, salīdzinot ar, piemēram, noteikumu projekta 6. punktā paredzēto regulējumu, paredzēts svītrot norādi, ka katrai teritorijai ir noteiktas atšķirīgas prasību robežvērtības, tomēr no noteikumu projekta un tā anotācijas nav gūstama pārliecība, vai minētā grozījuma mērķis ir precizēt gadījumus, kad noteikumu Nr. 198 137. punktā ietvertais regulējums ir piemērojams.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lauksaimnieka īpašumā vai lietošanā esošā aramzeme atrodas teritorijās, kurām katrai ir noteiktas atšķirīgas prasību robežvērtības, teritorijai noteikto prasību robežvērtību attiecina uz to lauksaimnieka aramzemes daļu, kas atrodas attiecīgajā teritorijā. Ja saimniecībā kopumā tiek nodrošināta augstākā augsnes pārklājuma robežvērtība, kas noteikta kādai no teritorijām, kurā atrodas saimniecības aramzemes platības, tad tiek uzskatīts, ka prasība ir izpildīta.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 3. un 6. punktā skaidri norādīt vai noteikumu projekta anotācijā skaidrot, kāda konkrēti prasība tiek uzskatīta par izpildītu un vai šī prasība ir izpildīta attiecībā uz visām saimniecības aramzemes platībām, kā arī - kas ir saprotams ar augstāko augsnes pārklājuma robežvērtību. Norādām, ka noteikumu projekta anotācijā minēts, ka saimniecībai kopumā aprēķināma un piemērojama vidējā svērtā prasības robežvērtība situācijās, kad saimniecības platība atrodas dažādās teritorijās. Tādējādi lauksaimniekam ir dota iespēja plānot saimniecības darbību un augu maiņu saimniecībā, ļaujot lauksaimniekam izvēlēties platību, uz kuras tiek nodrošināts augsnes pārklājums, ja saimniecības lauki atrodas teritorijās ar atšķirīgām prasību robežvērtībām. Tomēr vēršam uzmanību, ka noteikumu projektā nav ietverts atbilstošs regulējums (tai skaitā noteikumu projektā tiek paredzēta augstākā augsnes pārklājuma robežvērtība, nevis vidējā svērtā), tādēļ nepieciešams papildināt anotāciju vai precizēt noteikumu 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Šo noteikumu </w:t>
            </w:r>
            <w:r w:rsidR="00000000" w:rsidRPr="00000000" w:rsidDel="00000000">
              <w:rPr>
                <w:rtl w:val="0"/>
              </w:rPr>
              <w:t xml:space="preserve">256. </w:t>
            </w:r>
            <w:r w:rsidR="00000000" w:rsidRPr="00000000" w:rsidDel="00000000">
              <w:rPr>
                <w:rtl w:val="0"/>
              </w:rPr>
              <w:t xml:space="preserve">punktā</w:t>
            </w:r>
            <w:r w:rsidR="00000000" w:rsidRPr="00000000" w:rsidDel="00000000">
              <w:rPr>
                <w:rtl w:val="0"/>
              </w:rPr>
              <w:t xml:space="preserve">  noteikto atbalsta samazinājumu 2023. gadā piemēro tikai par tādas novēlotas informācijas iesniegšanu LIZ pārvaldības sistēmā, kuras iesniegšanas termiņš ir 5. novembris.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 punktu vai papildināt noteikumu projekta anotāciju ar atbilstošu skaidrojumu par minētajā punktā ietvertā regulējuma nepieciešamību un mērķi. Norādām, ka tiesiskās drošības principam varētu neatbilst izņēmumus no noteikumu Nr. 198 prasību piemērošanas attiecināt uz noteiktu laiku (2023. gadu), atbalsta samazināšanu personām piemērojot vienīgi atkarībā no informācijas iesniegšanas datuma, ja šādus izņēmumus nepamato konkrēti un juridiski pamatoti apsvērumi. Tā vietā, ja pastāv šaubas par atbalsta samazinājumu pamatotību, tai skaitā atbilstību samērīguma principam v.tml., ierosinām sistēmiski pārskatīt noteikumus Nr. 198 un nepieciešamības gadījumā precizēt noteikumu Nr. 198 256. punktā ietverto regulējumu, piemēram, paredzot, ka atbalsta samazinājumu (ja to nenoteic kā obligātu Eiropas Savienības tiesību aktu vai citas prasības) var noteiktos gadījumos piemērot, nevis tas obligāti jāpiemēro (nepieciešamības gadījumā - piemērveidā skaidrojot kādos gadījumos atbalsta samazinājumu varētu (ne-)piemērot).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Par lauksaimniecības darbaspēka vienību uzskatāms algots darbinieks, kas nostrādā vismaz 65 dienas jeb 520 stundu gadā. Lauksaimniecības darbaspēka vienību skaitu saimniecībā aprēķina, saimniecībā iepriekšējā gadā algoto darbinieku nostrādātās stundas lauksaimnieciskajā darbībā dalot ar 520. Nostrādātās stundas lauksaimnieciskajā darbībā nosaka atbilstoši saimniecībā veiktajai uzskaitei, nošķirot lauksaimnieciskajā darbībā un nelauksaimnieciskajā darbībā nostrādātās stundas. Kopējais nostrādāto stundu skaits nepārsniedz Valsts ieņēmumu dienestā iesniegtajā darba devēja ziņojumā par iepriekšējā gada pārskata mēnešiem norādīto nostrādāto stundu skaitu un Lauku atbalsta dienesta rīcībā esošajā informācijā par saimniecībā nodarbināto sezonas laukstrādnieku nostrādāto stundu skaitu, ko aprēķina, Lauku atbalsta dienesta informācijas sistēmas sagatavotajā sezonas laukstrādnieku ienākuma nodokļa maksātāju ziņojumā par iepriekšējā gada pārskata mēnešiem norādīto sezonas laukstrādnieku nostrādāto dienu skaitu reizinot ar astoņi. Par lauksaimniecības darbaspēka vienību ir uzskatāms arī saimnieciskās darbības veicējs (pašnodarbinātais), kura ienākumi no lauksaimnieciskās darbības atbilstoši gada ienākumu deklarācijas D3. vai D3.</w:t>
            </w:r>
            <w:r w:rsidR="00000000" w:rsidRPr="00000000" w:rsidDel="00000000">
              <w:rPr>
                <w:vertAlign w:val="superscript"/>
                <w:rtl w:val="0"/>
              </w:rPr>
              <w:t xml:space="preserve">1</w:t>
            </w:r>
            <w:r w:rsidR="00000000" w:rsidRPr="00000000" w:rsidDel="00000000">
              <w:rPr>
                <w:rtl w:val="0"/>
              </w:rPr>
              <w:t xml:space="preserve"> pielikumam vai finanšu pārskatam par iepriekšējo gadu veido vismaz 50 procentu no kopējiem ieņēmumiem.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 punktā pieturzīmi iekavas aizstāt ar pieturzīmi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 punktā robežas starp konkrētām noteikumu Nr. 198 5. pielikuma 2. tabulas vienībām formulēt nepārproti, piemēram, "Liellopi vecumā no 6 līdz 12 mēn. </w:t>
            </w:r>
            <w:r w:rsidR="00000000" w:rsidRPr="00000000" w:rsidDel="00000000">
              <w:rPr>
                <w:u w:val="single"/>
                <w:rtl w:val="0"/>
              </w:rPr>
              <w:t xml:space="preserve">(ieskaitot)</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23-TA-1205</w:t>
    </w:r>
    <w:r>
      <w:br/>
    </w:r>
    <w:r w:rsidR="00000000" w:rsidRPr="00000000" w:rsidDel="00000000">
      <w:rPr>
        <w:rtl w:val="0"/>
      </w:rPr>
      <w:t xml:space="preserve">Izdrukāts 15.06.2023.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23-TA-1205</w:t>
    </w:r>
    <w:r>
      <w:br/>
    </w:r>
    <w:r w:rsidR="00000000" w:rsidRPr="00000000" w:rsidDel="00000000">
      <w:rPr>
        <w:rtl w:val="0"/>
      </w:rPr>
      <w:t xml:space="preserve">Izdrukāts 15.06.2023.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Atzinumi_23-TA-1205.docx</dc:title>
</cp:coreProperties>
</file>

<file path=docProps/custom.xml><?xml version="1.0" encoding="utf-8"?>
<Properties xmlns="http://schemas.openxmlformats.org/officeDocument/2006/custom-properties" xmlns:vt="http://schemas.openxmlformats.org/officeDocument/2006/docPropsVTypes"/>
</file>