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informatīvus pasākumus, kā ministrija nodrošina darba devēju kvalitatīvu informēšanu par tiesību akta stāšanos spēkā un svešvalodas zināšanu prasību izmaiņām, lai nodrošinātu, ka darbaspēka atlases procesā darba devēji ir informēti par svešvalodu prasību ierobežojumiem un mazinātu riskus, kas saistīti ar nevienlīdzīgu attieksmi darbinieku prasmju novērtēšanā.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28.12.2024.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28.12.2024.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Atzinumi_24-TA-2240.docx</dc:title>
</cp:coreProperties>
</file>

<file path=docProps/custom.xml><?xml version="1.0" encoding="utf-8"?>
<Properties xmlns="http://schemas.openxmlformats.org/officeDocument/2006/custom-properties" xmlns:vt="http://schemas.openxmlformats.org/officeDocument/2006/docPropsVTypes"/>
</file>