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4523F" w14:textId="10783187" w:rsidR="00843EFF" w:rsidRPr="00843EFF" w:rsidRDefault="7CE11528" w:rsidP="00843EFF">
      <w:pPr>
        <w:keepNext/>
        <w:keepLines/>
        <w:spacing w:before="360" w:after="80" w:line="240" w:lineRule="auto"/>
        <w:jc w:val="both"/>
        <w:outlineLvl w:val="0"/>
        <w:rPr>
          <w:rFonts w:ascii="Times New Roman" w:eastAsia="Calibri" w:hAnsi="Times New Roman" w:cs="Times New Roman"/>
          <w:b/>
          <w:bCs/>
          <w:sz w:val="28"/>
          <w:szCs w:val="28"/>
        </w:rPr>
      </w:pPr>
      <w:bookmarkStart w:id="0" w:name="_Hlk156292369"/>
      <w:bookmarkStart w:id="1" w:name="_Toc174362334"/>
      <w:r w:rsidRPr="0B1DE02F">
        <w:rPr>
          <w:rFonts w:ascii="Times New Roman" w:eastAsiaTheme="majorEastAsia" w:hAnsi="Times New Roman" w:cstheme="majorBidi"/>
          <w:b/>
          <w:bCs/>
          <w:sz w:val="28"/>
          <w:szCs w:val="28"/>
        </w:rPr>
        <w:t>2</w:t>
      </w:r>
      <w:r w:rsidR="00843EFF" w:rsidRPr="0B1DE02F">
        <w:rPr>
          <w:rFonts w:ascii="Times New Roman" w:eastAsiaTheme="majorEastAsia" w:hAnsi="Times New Roman" w:cstheme="majorBidi"/>
          <w:b/>
          <w:bCs/>
          <w:sz w:val="28"/>
          <w:szCs w:val="28"/>
        </w:rPr>
        <w:t xml:space="preserve">. pielikums. </w:t>
      </w:r>
      <w:r w:rsidR="00843EFF" w:rsidRPr="0B1DE02F">
        <w:rPr>
          <w:rFonts w:ascii="Times New Roman" w:eastAsia="Calibri" w:hAnsi="Times New Roman" w:cs="Times New Roman"/>
          <w:b/>
          <w:bCs/>
          <w:sz w:val="28"/>
          <w:szCs w:val="28"/>
        </w:rPr>
        <w:t>Kritēriji un kārtība, kādā tiks izvērtēti pašvaldību sākotnēji iesniegtie priekšlikumi mobilitātes un pakalpojumu infrastruktūras jomās divējādas lietojamības kontekstā</w:t>
      </w:r>
      <w:bookmarkEnd w:id="0"/>
      <w:bookmarkEnd w:id="1"/>
    </w:p>
    <w:p w14:paraId="02441B06" w14:textId="41498C1C"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Ņemot vērā ģeopolitisko situāciju, informatīvā ziņojuma “Par atbalstu Eiropas Savienības Austrumu pierobežas konkurētspējas stiprināšanai” (atbalstīts Ministru kabineta 2023. gada 28.</w:t>
      </w:r>
      <w:r w:rsidR="005B302D" w:rsidRPr="4A80C604">
        <w:rPr>
          <w:rFonts w:ascii="Times New Roman" w:eastAsia="Times New Roman" w:hAnsi="Times New Roman" w:cs="Times New Roman"/>
          <w:sz w:val="24"/>
          <w:szCs w:val="24"/>
          <w:lang w:eastAsia="lv-LV"/>
        </w:rPr>
        <w:t xml:space="preserve"> </w:t>
      </w:r>
      <w:r w:rsidRPr="00843EFF">
        <w:rPr>
          <w:rFonts w:ascii="Times New Roman" w:eastAsia="Times New Roman" w:hAnsi="Times New Roman" w:cs="Times New Roman"/>
          <w:kern w:val="0"/>
          <w:sz w:val="24"/>
          <w:szCs w:val="24"/>
          <w:lang w:eastAsia="lv-LV"/>
          <w14:ligatures w14:val="none"/>
        </w:rPr>
        <w:t xml:space="preserve">novembra sēdē) ietvaros tika piedāvāts jauns koncepts attiecībā uz ieguldījumiem infrastruktūras attīstībai </w:t>
      </w:r>
      <w:r w:rsidR="46B610C9" w:rsidRPr="00843EFF">
        <w:rPr>
          <w:rFonts w:ascii="Times New Roman" w:eastAsia="Times New Roman" w:hAnsi="Times New Roman" w:cs="Times New Roman"/>
          <w:kern w:val="0"/>
          <w:sz w:val="24"/>
          <w:szCs w:val="24"/>
          <w:lang w:eastAsia="lv-LV"/>
          <w14:ligatures w14:val="none"/>
        </w:rPr>
        <w:t xml:space="preserve">Eiropas Savienības (turpmāk - </w:t>
      </w:r>
      <w:r w:rsidRPr="00843EFF">
        <w:rPr>
          <w:rFonts w:ascii="Times New Roman" w:eastAsia="Times New Roman" w:hAnsi="Times New Roman" w:cs="Times New Roman"/>
          <w:kern w:val="0"/>
          <w:sz w:val="24"/>
          <w:szCs w:val="24"/>
          <w:lang w:eastAsia="lv-LV"/>
          <w14:ligatures w14:val="none"/>
        </w:rPr>
        <w:t>ES</w:t>
      </w:r>
      <w:r w:rsidR="3C10E9B7" w:rsidRPr="00843EFF">
        <w:rPr>
          <w:rFonts w:ascii="Times New Roman" w:eastAsia="Times New Roman" w:hAnsi="Times New Roman" w:cs="Times New Roman"/>
          <w:kern w:val="0"/>
          <w:sz w:val="24"/>
          <w:szCs w:val="24"/>
          <w:lang w:eastAsia="lv-LV"/>
          <w14:ligatures w14:val="none"/>
        </w:rPr>
        <w:t>)</w:t>
      </w:r>
      <w:r w:rsidRPr="00843EFF">
        <w:rPr>
          <w:rFonts w:ascii="Times New Roman" w:eastAsia="Times New Roman" w:hAnsi="Times New Roman" w:cs="Times New Roman"/>
          <w:kern w:val="0"/>
          <w:sz w:val="24"/>
          <w:szCs w:val="24"/>
          <w:lang w:eastAsia="lv-LV"/>
          <w14:ligatures w14:val="none"/>
        </w:rPr>
        <w:t xml:space="preserve"> Austrumu pierobežā, īstenojot divējādas lietojamības risinājumus, tai skaitā nodrošinot militāro un civilo pielietojumu, fokusējoties tieši uz mobilitātes un pakalpojumu jomām, kuru īstenošanai jāpiesaista papildu ES fondu finansējums.</w:t>
      </w:r>
    </w:p>
    <w:p w14:paraId="09CD6A62"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Šobrīd pašvaldībām pieejamais atbalsts neparedz specifiskus pasākumus divējādas lietojamības infrastruktūras attīstīšanai, lai gan ģeopolitiskā situācija visā pasaulē, īpaši notikumi Ukrainā, aktualizē šādas infrastruktūras izveides nozīmīgumu iedzīvotāju drošības nodrošināšanai. Objektu divējādas lietojamības pielietojums ir paredzēts kā galvenais risināmais jautājums, jo tas objektu padara vienlīdz piemērotu civilajām, kā arī nepieciešamības gadījumos militārām vai civilās aizsardzības vajadzībām, turklāt paredzot iespējami ātru objekta transformāciju no civilā pielietojuma uz militāru vai ar civilās aizsardzības pasākumu nodrošināšanu saistītu pielietojumu. Piemēram, Somijā bumbu patvertnēs pilsētas vidē ir izveidota sporta infrastruktūra, kā arī tuneļi/apakšzemes pārvadi tiek veidoti, lai būtu ātri pielāgojami patvēruma vajadzībām.</w:t>
      </w:r>
    </w:p>
    <w:p w14:paraId="2876E3BC"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No teritoriālā viedokļa lielāks drošības apdraudējums pastāv apdzīvotām vietām ar lielāku iedzīvotāju skaitu, jo šajās vietās ikdienā ir liela cilvēku koncentrācija, valsts autoceļu un dzelzceļu satiksmes punkti. </w:t>
      </w:r>
    </w:p>
    <w:p w14:paraId="740B5B42"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Svarīgs horizontāls aspekts, domājot par krīzes situācijām, ir iedzīvotāju sasniedzamība informācijas telpā – pieejama Latvijas Televīzija un Latvijas Radio, lai iedzīvotāji operatīvi saņemtu objektīvu informāciju un tālākās rīcības norādes.</w:t>
      </w:r>
    </w:p>
    <w:p w14:paraId="72B8D7DD"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Lai nodrošinātu iesniegto pašvaldību vajadzību izvērtēšanu saskaņā ar valsts kopējiem ilgtspējīgas attīstības mērķiem, ietverot gan saistīto nozaru īstenotās politikas virzienu  prioritātes, gan drošības aspektu, jāparedz ietvars un kritēriji, atbilstoši kuriem atbildīgās institūcijas veiks informatīvā ziņojuma “Par atbalstu Eiropas Savienības Austrumu pierobežas konkurētspējas stiprināšanai” pielikumos ietverto sākotnējo priekšlikumu izvērtēšanu</w:t>
      </w:r>
      <w:r w:rsidRPr="00843EFF">
        <w:rPr>
          <w:rFonts w:ascii="Times New Roman" w:eastAsia="Times New Roman" w:hAnsi="Times New Roman" w:cs="Times New Roman"/>
          <w:kern w:val="0"/>
          <w:sz w:val="24"/>
          <w:szCs w:val="24"/>
          <w:vertAlign w:val="superscript"/>
          <w:lang w:eastAsia="lv-LV"/>
          <w14:ligatures w14:val="none"/>
        </w:rPr>
        <w:footnoteReference w:id="2"/>
      </w:r>
      <w:r w:rsidRPr="00843EFF">
        <w:rPr>
          <w:rFonts w:ascii="Times New Roman" w:eastAsia="Times New Roman" w:hAnsi="Times New Roman" w:cs="Times New Roman"/>
          <w:kern w:val="0"/>
          <w:sz w:val="24"/>
          <w:szCs w:val="24"/>
          <w:lang w:eastAsia="lv-LV"/>
          <w14:ligatures w14:val="none"/>
        </w:rPr>
        <w:t xml:space="preserve"> no divējādas lietojamības infrastruktūras risinājumu pieejas viedokļa. </w:t>
      </w:r>
    </w:p>
    <w:p w14:paraId="383E3CA3" w14:textId="77777777" w:rsidR="00843EFF" w:rsidRPr="00843EFF" w:rsidRDefault="00843EFF" w:rsidP="00843EFF">
      <w:pPr>
        <w:spacing w:before="120" w:beforeAutospacing="1" w:after="120" w:afterAutospacing="1"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 xml:space="preserve">Pašvaldību priekšlikumu izvērtēšanas procesā tiks ņemti vērā vairāki nosacījumi: teritoriālais tvērums; tematiskais tvērums, t.i., prioritāri atbalstāmi mobilitātes infrastruktūras objekti, ņemot vērā, ka no reģionālās attīstības viedokļa to attīstīšana sekmē plašāku labuma guvēju skaitu; projektu gatavības pakāpe; pašvaldības īstenojamā civilās aizsardzības politika, kas noteikta tās civilās aizsardzības plānos, tas ir, vai objekta attīstība sniegs ieguldījumu attiecīgās pašvaldības/sadarbības teritorijas civilās aizsardzības plāna mērķu un rezultatīvo rādītāju sasniegšanā, tai skaitā objekta sasaiste ar pašvaldību civilās aizsardzības plānos identificētajiem apdraudējumiem un to novēršanas pasākumiem, jo īpaši civilās aizsardzības sistēmas stiprināšanas ietvaros, lai nodrošinātu attīstīto divējādas lietojamības objektu rezultātu </w:t>
      </w:r>
      <w:proofErr w:type="spellStart"/>
      <w:r w:rsidRPr="00843EFF">
        <w:rPr>
          <w:rFonts w:ascii="Times New Roman" w:eastAsia="Times New Roman" w:hAnsi="Times New Roman" w:cs="Times New Roman"/>
          <w:kern w:val="0"/>
          <w:sz w:val="24"/>
          <w:szCs w:val="24"/>
          <w:lang w:eastAsia="lv-LV"/>
          <w14:ligatures w14:val="none"/>
        </w:rPr>
        <w:t>salāgojamību</w:t>
      </w:r>
      <w:proofErr w:type="spellEnd"/>
      <w:r w:rsidRPr="00843EFF">
        <w:rPr>
          <w:rFonts w:ascii="Times New Roman" w:eastAsia="Times New Roman" w:hAnsi="Times New Roman" w:cs="Times New Roman"/>
          <w:kern w:val="0"/>
          <w:sz w:val="24"/>
          <w:szCs w:val="24"/>
          <w:lang w:eastAsia="lv-LV"/>
          <w14:ligatures w14:val="none"/>
        </w:rPr>
        <w:t xml:space="preserve"> un investīciju atdevi saistībā ar civilās </w:t>
      </w:r>
      <w:r w:rsidRPr="00843EFF">
        <w:rPr>
          <w:rFonts w:ascii="Times New Roman" w:eastAsia="Times New Roman" w:hAnsi="Times New Roman" w:cs="Times New Roman"/>
          <w:kern w:val="0"/>
          <w:sz w:val="24"/>
          <w:szCs w:val="24"/>
          <w:lang w:eastAsia="lv-LV"/>
          <w14:ligatures w14:val="none"/>
        </w:rPr>
        <w:lastRenderedPageBreak/>
        <w:t>aizsardzības plānā noteikto pasākumu īstenošanu, kā arī ievērojot situāciju, ka pašvaldībās situācija civilās aizsardzības pasākumu materiālā nodrošinājuma kontekstā var būt atšķirīga.</w:t>
      </w:r>
    </w:p>
    <w:p w14:paraId="46A8FCBA"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 xml:space="preserve">Pašvaldību sākotnēji iesniegto priekšlikumu izvērtēšanas gaitā atsevišķi tiks vērtēti mobilitātes infrastruktūras objekti un pakalpojumu infrastruktūras objekti, ņemot vērā, ka katrai no jomām ir savi specifiski vērtēšanas kritēriji, vienlaikus tiks vērtēta iesniegto priekšlikumu savstarpējā sinerģija, tas ir, ka ieguldījumi konkrētajās investīciju grupās ir savstarpēji papildinoši un sekmē pakalpojumu pieejamību. </w:t>
      </w:r>
    </w:p>
    <w:p w14:paraId="5BF4384C"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 xml:space="preserve">Ņemot vērā, ka šobrīd iesniegtie priekšlikumi ir pašvaldību vajadzības, kas tika apkopotas bez to sākotnējā </w:t>
      </w:r>
      <w:proofErr w:type="spellStart"/>
      <w:r w:rsidRPr="00843EFF">
        <w:rPr>
          <w:rFonts w:ascii="Times New Roman" w:eastAsia="Times New Roman" w:hAnsi="Times New Roman" w:cs="Times New Roman"/>
          <w:kern w:val="0"/>
          <w:sz w:val="24"/>
          <w:szCs w:val="24"/>
          <w:lang w:eastAsia="lv-LV"/>
          <w14:ligatures w14:val="none"/>
        </w:rPr>
        <w:t>izvērtējuma</w:t>
      </w:r>
      <w:proofErr w:type="spellEnd"/>
      <w:r w:rsidRPr="00843EFF">
        <w:rPr>
          <w:rFonts w:ascii="Times New Roman" w:eastAsia="Times New Roman" w:hAnsi="Times New Roman" w:cs="Times New Roman"/>
          <w:kern w:val="0"/>
          <w:sz w:val="24"/>
          <w:szCs w:val="24"/>
          <w:lang w:eastAsia="lv-LV"/>
          <w14:ligatures w14:val="none"/>
        </w:rPr>
        <w:t xml:space="preserve"> reģionālās attīstības kontekstā, plānots, ka sākotnējo priekšlikumu izvērtēšanu pēc noteikta kritēriju kopuma veiks plānošanas reģioni sadarbībā ar atbildīgajām ministrijām, nepieciešamības gadījumā priekšlikumu vērtēšanas procesā var tikt piesaistīti civilās aizsardzības speciālisti, drošības jomas eksperti, dažāda veida asociāciju, piemēram, Latvijas Būvnieku asociācijas pārstāvji un citi.</w:t>
      </w:r>
    </w:p>
    <w:p w14:paraId="43209573"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bCs/>
          <w:kern w:val="0"/>
          <w:sz w:val="24"/>
          <w:szCs w:val="24"/>
          <w:lang w:eastAsia="lv-LV"/>
          <w14:ligatures w14:val="none"/>
        </w:rPr>
      </w:pPr>
      <w:r w:rsidRPr="00843EFF">
        <w:rPr>
          <w:rFonts w:ascii="Times New Roman" w:eastAsia="Times New Roman" w:hAnsi="Times New Roman" w:cs="Times New Roman"/>
          <w:bCs/>
          <w:kern w:val="0"/>
          <w:sz w:val="24"/>
          <w:szCs w:val="24"/>
          <w:lang w:eastAsia="lv-LV"/>
          <w14:ligatures w14:val="none"/>
        </w:rPr>
        <w:t>Vienlaikus kā papildus uzstādījums kritērijiem noteikti horizontāli nosacījumi, attiecīgi attīstāmajiem objektiem gan reģionāli, gan pēc to funkcionalitātes jānodrošina savstarpēja sinerģija; nepieciešamajām izmaksām jābūt samērojamām pret iegūstamo rezultātu; jāņem vērā plānoto darbību laika grafiks; prioritāri atbalstāmi būtu institūciju sadarbības projekti, nodrošinot plašāku ieguvēju loku.</w:t>
      </w:r>
    </w:p>
    <w:p w14:paraId="54122E73" w14:textId="2DBF53A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Vērtēšanas procesā tiks analizēti mobilitātes un pakalpojumu infrastruktūras objekti, kas iekļauti Ministru kabineta 2023. gada 28.</w:t>
      </w:r>
      <w:r w:rsidR="005B302D">
        <w:rPr>
          <w:rFonts w:ascii="Times New Roman" w:eastAsia="Times New Roman" w:hAnsi="Times New Roman" w:cs="Times New Roman"/>
          <w:kern w:val="0"/>
          <w:sz w:val="24"/>
          <w:szCs w:val="24"/>
          <w:lang w:eastAsia="lv-LV"/>
          <w14:ligatures w14:val="none"/>
        </w:rPr>
        <w:t xml:space="preserve"> </w:t>
      </w:r>
      <w:r w:rsidRPr="00843EFF">
        <w:rPr>
          <w:rFonts w:ascii="Times New Roman" w:eastAsia="Times New Roman" w:hAnsi="Times New Roman" w:cs="Times New Roman"/>
          <w:kern w:val="0"/>
          <w:sz w:val="24"/>
          <w:szCs w:val="24"/>
          <w:lang w:eastAsia="lv-LV"/>
          <w14:ligatures w14:val="none"/>
        </w:rPr>
        <w:t>novembra sēdē izskatītā informatīvā ziņojuma “Par atbalstu Eiropas Savienības Austrumu pierobežas konkurētspējas stiprināšanai” 1. un 2.pielikumā</w:t>
      </w:r>
      <w:r w:rsidR="008E2F61">
        <w:rPr>
          <w:rFonts w:ascii="Times New Roman" w:eastAsia="Times New Roman" w:hAnsi="Times New Roman" w:cs="Times New Roman"/>
          <w:kern w:val="0"/>
          <w:sz w:val="24"/>
          <w:szCs w:val="24"/>
          <w:lang w:eastAsia="lv-LV"/>
          <w14:ligatures w14:val="none"/>
        </w:rPr>
        <w:t xml:space="preserve"> un </w:t>
      </w:r>
      <w:r w:rsidR="006A0FB3">
        <w:rPr>
          <w:rFonts w:ascii="Times New Roman" w:eastAsia="Times New Roman" w:hAnsi="Times New Roman" w:cs="Times New Roman"/>
          <w:kern w:val="0"/>
          <w:sz w:val="24"/>
          <w:szCs w:val="24"/>
          <w:lang w:eastAsia="lv-LV"/>
          <w14:ligatures w14:val="none"/>
        </w:rPr>
        <w:t xml:space="preserve">kuru atrašanās vieta ir saskaņā ar </w:t>
      </w:r>
      <w:r w:rsidR="00F31ED4" w:rsidRPr="00F31ED4">
        <w:rPr>
          <w:rFonts w:ascii="Times New Roman" w:eastAsia="Times New Roman" w:hAnsi="Times New Roman" w:cs="Times New Roman"/>
          <w:kern w:val="0"/>
          <w:sz w:val="24"/>
          <w:szCs w:val="24"/>
          <w:lang w:eastAsia="lv-LV"/>
          <w14:ligatures w14:val="none"/>
        </w:rPr>
        <w:t>Rīcības plān</w:t>
      </w:r>
      <w:r w:rsidR="00F31ED4">
        <w:rPr>
          <w:rFonts w:ascii="Times New Roman" w:eastAsia="Times New Roman" w:hAnsi="Times New Roman" w:cs="Times New Roman"/>
          <w:kern w:val="0"/>
          <w:sz w:val="24"/>
          <w:szCs w:val="24"/>
          <w:lang w:eastAsia="lv-LV"/>
          <w14:ligatures w14:val="none"/>
        </w:rPr>
        <w:t>ā</w:t>
      </w:r>
      <w:r w:rsidR="00F31ED4" w:rsidRPr="00F31ED4">
        <w:rPr>
          <w:rFonts w:ascii="Times New Roman" w:eastAsia="Times New Roman" w:hAnsi="Times New Roman" w:cs="Times New Roman"/>
          <w:kern w:val="0"/>
          <w:sz w:val="24"/>
          <w:szCs w:val="24"/>
          <w:lang w:eastAsia="lv-LV"/>
          <w14:ligatures w14:val="none"/>
        </w:rPr>
        <w:t xml:space="preserve"> Latvijas Austrumu pierobežas ekonomiskajai izaugsmei un drošības stiprināšanai 2025.–2027. gadam</w:t>
      </w:r>
      <w:r w:rsidR="00F31ED4">
        <w:rPr>
          <w:rFonts w:ascii="Times New Roman" w:eastAsia="Times New Roman" w:hAnsi="Times New Roman" w:cs="Times New Roman"/>
          <w:kern w:val="0"/>
          <w:sz w:val="24"/>
          <w:szCs w:val="24"/>
          <w:lang w:eastAsia="lv-LV"/>
          <w14:ligatures w14:val="none"/>
        </w:rPr>
        <w:t xml:space="preserve"> noteikto teritoriālo tvērumu</w:t>
      </w:r>
      <w:r w:rsidRPr="00843EFF">
        <w:rPr>
          <w:rFonts w:ascii="Times New Roman" w:eastAsia="Times New Roman" w:hAnsi="Times New Roman" w:cs="Times New Roman"/>
          <w:kern w:val="0"/>
          <w:sz w:val="24"/>
          <w:szCs w:val="24"/>
          <w:lang w:eastAsia="lv-LV"/>
          <w14:ligatures w14:val="none"/>
        </w:rPr>
        <w:t>. Vienlaikus</w:t>
      </w:r>
      <w:r w:rsidRPr="00843EFF" w:rsidDel="00F82F33">
        <w:rPr>
          <w:rFonts w:ascii="Times New Roman" w:eastAsia="Times New Roman" w:hAnsi="Times New Roman" w:cs="Times New Roman"/>
          <w:kern w:val="0"/>
          <w:sz w:val="24"/>
          <w:szCs w:val="24"/>
          <w:lang w:eastAsia="lv-LV"/>
          <w14:ligatures w14:val="none"/>
        </w:rPr>
        <w:t xml:space="preserve"> </w:t>
      </w:r>
      <w:r w:rsidRPr="00843EFF">
        <w:rPr>
          <w:rFonts w:ascii="Times New Roman" w:eastAsia="Times New Roman" w:hAnsi="Times New Roman" w:cs="Times New Roman"/>
          <w:kern w:val="0"/>
          <w:sz w:val="24"/>
          <w:szCs w:val="24"/>
          <w:lang w:eastAsia="lv-LV"/>
          <w14:ligatures w14:val="none"/>
        </w:rPr>
        <w:t>saraksts var tikt papildināts ar citiem objektiem, ja tiek konstatēta šāda nepieciešamība. Pašvaldībām sniedzot jaunus priekšlikumus, nepieciešams pārvērtēt iepriekš iesniegtās vajadzības, tai skaitā vienojoties ar teritoriāli blakus esošajām pašvaldībām par kopīgu projektu ieviešanu, kur tas būtu attiecināms – šādiem projektiem to izvērtēšanas procesā tiek noteikta augstāka prioritāte.</w:t>
      </w:r>
    </w:p>
    <w:p w14:paraId="588CCB2A"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p>
    <w:p w14:paraId="2C5AFED9" w14:textId="77777777" w:rsidR="00843EFF" w:rsidRPr="00843EFF" w:rsidRDefault="00843EFF" w:rsidP="00843EFF">
      <w:pPr>
        <w:numPr>
          <w:ilvl w:val="0"/>
          <w:numId w:val="1"/>
        </w:num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b/>
          <w:bCs/>
          <w:kern w:val="0"/>
          <w:sz w:val="24"/>
          <w:szCs w:val="24"/>
          <w:lang w:eastAsia="lv-LV"/>
          <w14:ligatures w14:val="none"/>
        </w:rPr>
        <w:t xml:space="preserve">Mobilitātes infrastruktūras objektu priekšlikumu izvērtēšanas kritēriji </w:t>
      </w:r>
    </w:p>
    <w:p w14:paraId="39EF9696"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b/>
          <w:bCs/>
          <w:kern w:val="0"/>
          <w:sz w:val="24"/>
          <w:szCs w:val="24"/>
          <w:lang w:eastAsia="lv-LV"/>
          <w14:ligatures w14:val="none"/>
        </w:rPr>
      </w:pPr>
      <w:r w:rsidRPr="00843EFF">
        <w:rPr>
          <w:rFonts w:ascii="Times New Roman" w:eastAsia="Times New Roman" w:hAnsi="Times New Roman" w:cs="Times New Roman"/>
          <w:b/>
          <w:kern w:val="0"/>
          <w:sz w:val="24"/>
          <w:szCs w:val="24"/>
          <w:lang w:eastAsia="lv-LV"/>
          <w14:ligatures w14:val="none"/>
        </w:rPr>
        <w:t>1.1.</w:t>
      </w:r>
      <w:r w:rsidRPr="00843EFF">
        <w:rPr>
          <w:rFonts w:ascii="Times New Roman" w:eastAsia="Times New Roman" w:hAnsi="Times New Roman" w:cs="Times New Roman"/>
          <w:kern w:val="0"/>
          <w:sz w:val="24"/>
          <w:szCs w:val="24"/>
          <w:lang w:eastAsia="lv-LV"/>
          <w14:ligatures w14:val="none"/>
        </w:rPr>
        <w:t xml:space="preserve"> </w:t>
      </w:r>
      <w:r w:rsidRPr="00843EFF">
        <w:rPr>
          <w:rFonts w:ascii="Times New Roman" w:eastAsia="Times New Roman" w:hAnsi="Times New Roman" w:cs="Times New Roman"/>
          <w:b/>
          <w:kern w:val="0"/>
          <w:sz w:val="24"/>
          <w:szCs w:val="24"/>
          <w:lang w:eastAsia="lv-LV"/>
          <w14:ligatures w14:val="none"/>
        </w:rPr>
        <w:t>M</w:t>
      </w:r>
      <w:r w:rsidRPr="00843EFF">
        <w:rPr>
          <w:rFonts w:ascii="Times New Roman" w:eastAsia="Times New Roman" w:hAnsi="Times New Roman" w:cs="Times New Roman"/>
          <w:b/>
          <w:bCs/>
          <w:kern w:val="0"/>
          <w:sz w:val="24"/>
          <w:szCs w:val="24"/>
          <w:lang w:eastAsia="lv-LV"/>
          <w14:ligatures w14:val="none"/>
        </w:rPr>
        <w:t>ilitārais pielietojums un civilās aizsardzības vajadzības</w:t>
      </w:r>
    </w:p>
    <w:p w14:paraId="3770C478"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b/>
          <w:bCs/>
          <w:sz w:val="24"/>
          <w:szCs w:val="24"/>
        </w:rPr>
        <w:t xml:space="preserve">Pirmajā kārtā </w:t>
      </w:r>
      <w:r w:rsidRPr="00843EFF">
        <w:rPr>
          <w:rFonts w:ascii="Times New Roman" w:eastAsia="Calibri" w:hAnsi="Times New Roman" w:cs="Times New Roman"/>
          <w:sz w:val="24"/>
          <w:szCs w:val="24"/>
        </w:rPr>
        <w:t xml:space="preserve">tiks vērtēts objekta divējādas lietojamības pielietojums, t.i., tādas objekta prasības un īpašības, kas atbilst gan militārai, gan civilās aizsardzības vajadzībai. Mobilitātes infrastruktūras objekts no divējādas lietojamības viedokļa paredz, piemēram, ceļa/tilta infrastruktūru, kas vienlaikus var nodrošināt gan militārā, gan civilā transporta mobilitāti, gan arī nepieciešamās </w:t>
      </w:r>
      <w:proofErr w:type="spellStart"/>
      <w:r w:rsidRPr="00843EFF">
        <w:rPr>
          <w:rFonts w:ascii="Times New Roman" w:eastAsia="Calibri" w:hAnsi="Times New Roman" w:cs="Times New Roman"/>
          <w:sz w:val="24"/>
          <w:szCs w:val="24"/>
        </w:rPr>
        <w:t>pretmobilitātes</w:t>
      </w:r>
      <w:proofErr w:type="spellEnd"/>
      <w:r w:rsidRPr="00843EFF">
        <w:rPr>
          <w:rFonts w:ascii="Times New Roman" w:eastAsia="Calibri" w:hAnsi="Times New Roman" w:cs="Times New Roman"/>
          <w:sz w:val="24"/>
          <w:szCs w:val="24"/>
        </w:rPr>
        <w:t xml:space="preserve"> prasības, t.i., apdraudējuma gadījumā noteiktā ceļa/tilta posms, kas tiek pārrakts, vai bojāts, tādā veidā bloķējot pārvietošanos.</w:t>
      </w:r>
    </w:p>
    <w:p w14:paraId="7C2E1079"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Šajā izvērtēšanas kārtā, nodrošinot </w:t>
      </w:r>
      <w:proofErr w:type="spellStart"/>
      <w:r w:rsidRPr="00843EFF">
        <w:rPr>
          <w:rFonts w:ascii="Times New Roman" w:eastAsia="Calibri" w:hAnsi="Times New Roman" w:cs="Times New Roman"/>
          <w:sz w:val="24"/>
          <w:szCs w:val="24"/>
        </w:rPr>
        <w:t>ranžēšanu</w:t>
      </w:r>
      <w:proofErr w:type="spellEnd"/>
      <w:r w:rsidRPr="00843EFF">
        <w:rPr>
          <w:rFonts w:ascii="Times New Roman" w:eastAsia="Calibri" w:hAnsi="Times New Roman" w:cs="Times New Roman"/>
          <w:sz w:val="24"/>
          <w:szCs w:val="24"/>
        </w:rPr>
        <w:t xml:space="preserve">, priekšlikumu vērtēšanu veiks plānošanas reģioni sadarbībā ar Aizsardzības un </w:t>
      </w:r>
      <w:proofErr w:type="spellStart"/>
      <w:r w:rsidRPr="00843EFF">
        <w:rPr>
          <w:rFonts w:ascii="Times New Roman" w:eastAsia="Calibri" w:hAnsi="Times New Roman" w:cs="Times New Roman"/>
          <w:sz w:val="24"/>
          <w:szCs w:val="24"/>
        </w:rPr>
        <w:t>Iekšlietu</w:t>
      </w:r>
      <w:proofErr w:type="spellEnd"/>
      <w:r w:rsidRPr="00843EFF">
        <w:rPr>
          <w:rFonts w:ascii="Times New Roman" w:eastAsia="Calibri" w:hAnsi="Times New Roman" w:cs="Times New Roman"/>
          <w:sz w:val="24"/>
          <w:szCs w:val="24"/>
        </w:rPr>
        <w:t xml:space="preserve"> ministrijām. Nepieciešamības gadījumā vērtēšanas procesā tiks piesaistītas arī citas institūcijas.</w:t>
      </w:r>
    </w:p>
    <w:p w14:paraId="0E3AECD8"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Lai pašvaldību sniegtie mobilitātes infrastruktūras objektu priekšlikumi tiktu virzīti tālākai izvērtēšanai, tiem jāatbilst sekojošiem vispārīgajiem kritērijiem un principiem, nodrošinot šo objektu militāro pielietojumu un atbilstību civilās aizsardzības vajadzībām: </w:t>
      </w:r>
    </w:p>
    <w:p w14:paraId="059CC9C1"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Latvijas un ES ārējās robežas stiprināšanai tiek attīstīta mobilitātes infrastruktūra virzienā uz Latvijas austrumiem, paredzot arī </w:t>
      </w:r>
      <w:proofErr w:type="spellStart"/>
      <w:r w:rsidRPr="00843EFF">
        <w:rPr>
          <w:rFonts w:ascii="Times New Roman" w:eastAsia="Calibri" w:hAnsi="Times New Roman" w:cs="Times New Roman"/>
          <w:kern w:val="0"/>
          <w:sz w:val="24"/>
          <w:szCs w:val="24"/>
        </w:rPr>
        <w:t>pretmobilitātei</w:t>
      </w:r>
      <w:proofErr w:type="spellEnd"/>
      <w:r w:rsidRPr="00843EFF">
        <w:rPr>
          <w:rFonts w:ascii="Times New Roman" w:eastAsia="Calibri" w:hAnsi="Times New Roman" w:cs="Times New Roman"/>
          <w:kern w:val="0"/>
          <w:sz w:val="24"/>
          <w:szCs w:val="24"/>
        </w:rPr>
        <w:t xml:space="preserve"> nepieciešamos risinājumus;</w:t>
      </w:r>
    </w:p>
    <w:p w14:paraId="6AF495D3"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valsts pierobežas joslā ar Krieviju un Baltkrieviju tiek attīstīta tāda mobilitātes infrastruktūra, lai nepieciešamības gadījumā varētu īstenot </w:t>
      </w:r>
      <w:proofErr w:type="spellStart"/>
      <w:r w:rsidRPr="00843EFF">
        <w:rPr>
          <w:rFonts w:ascii="Times New Roman" w:eastAsia="Calibri" w:hAnsi="Times New Roman" w:cs="Times New Roman"/>
          <w:kern w:val="0"/>
          <w:sz w:val="24"/>
          <w:szCs w:val="24"/>
        </w:rPr>
        <w:t>pretmobilitātes</w:t>
      </w:r>
      <w:proofErr w:type="spellEnd"/>
      <w:r w:rsidRPr="00843EFF">
        <w:rPr>
          <w:rFonts w:ascii="Times New Roman" w:eastAsia="Calibri" w:hAnsi="Times New Roman" w:cs="Times New Roman"/>
          <w:kern w:val="0"/>
          <w:sz w:val="24"/>
          <w:szCs w:val="24"/>
        </w:rPr>
        <w:t xml:space="preserve"> pasākumus un bloķēt </w:t>
      </w:r>
      <w:r w:rsidRPr="00843EFF">
        <w:rPr>
          <w:rFonts w:ascii="Times New Roman" w:eastAsia="Calibri" w:hAnsi="Times New Roman" w:cs="Times New Roman"/>
          <w:kern w:val="0"/>
          <w:sz w:val="24"/>
          <w:szCs w:val="24"/>
        </w:rPr>
        <w:lastRenderedPageBreak/>
        <w:t xml:space="preserve">pārvietošanos. Vienlaikus šis jautājums vērtējams kopsakarā ar Valsts robežsardzes spēju nodrošināt tai deleģēto funkciju un uzdevumu izpildi, un mobilitātes jautājums ir ļoti būtisks priekšnosacījums valsts robežas apsardzības nodrošināšanai, tāpat tas ietekmē arī citu </w:t>
      </w:r>
      <w:proofErr w:type="spellStart"/>
      <w:r w:rsidRPr="00843EFF">
        <w:rPr>
          <w:rFonts w:ascii="Times New Roman" w:eastAsia="Calibri" w:hAnsi="Times New Roman" w:cs="Times New Roman"/>
          <w:kern w:val="0"/>
          <w:sz w:val="24"/>
          <w:szCs w:val="24"/>
        </w:rPr>
        <w:t>iekšlietu</w:t>
      </w:r>
      <w:proofErr w:type="spellEnd"/>
      <w:r w:rsidRPr="00843EFF">
        <w:rPr>
          <w:rFonts w:ascii="Times New Roman" w:eastAsia="Calibri" w:hAnsi="Times New Roman" w:cs="Times New Roman"/>
          <w:kern w:val="0"/>
          <w:sz w:val="24"/>
          <w:szCs w:val="24"/>
        </w:rPr>
        <w:t xml:space="preserve"> dienestu (Valsts policijas un Valsts ugunsdzēsības un glābšanas dienesta (turpmāk – VUGD)) spēju pildīt tām noteiktās funkcijas un uzdevumus, t.sk. kara apstākļos. Tāpat šajā procesā iesaistāma ne tikai Aizsardzības ministrija, Nacionālie bruņotie spēki un Valsts ugunsdzēsības un glābšanas dienests, bet arī </w:t>
      </w:r>
      <w:proofErr w:type="spellStart"/>
      <w:r w:rsidRPr="00843EFF">
        <w:rPr>
          <w:rFonts w:ascii="Times New Roman" w:eastAsia="Calibri" w:hAnsi="Times New Roman" w:cs="Times New Roman"/>
          <w:kern w:val="0"/>
          <w:sz w:val="24"/>
          <w:szCs w:val="24"/>
        </w:rPr>
        <w:t>Iekšlietu</w:t>
      </w:r>
      <w:proofErr w:type="spellEnd"/>
      <w:r w:rsidRPr="00843EFF">
        <w:rPr>
          <w:rFonts w:ascii="Times New Roman" w:eastAsia="Calibri" w:hAnsi="Times New Roman" w:cs="Times New Roman"/>
          <w:kern w:val="0"/>
          <w:sz w:val="24"/>
          <w:szCs w:val="24"/>
        </w:rPr>
        <w:t xml:space="preserve"> ministrija, kuras viena no funkcijām ir civilā aizsardzība, un Valsts robežsardze, kuras galvenā funkcija ir nodrošināt valsts robežas neaizskaramību. </w:t>
      </w:r>
      <w:proofErr w:type="spellStart"/>
      <w:r w:rsidRPr="00843EFF">
        <w:rPr>
          <w:rFonts w:ascii="Times New Roman" w:eastAsia="Calibri" w:hAnsi="Times New Roman" w:cs="Times New Roman"/>
          <w:kern w:val="0"/>
          <w:sz w:val="24"/>
          <w:szCs w:val="24"/>
        </w:rPr>
        <w:t>Pretmobilitāte</w:t>
      </w:r>
      <w:proofErr w:type="spellEnd"/>
      <w:r w:rsidRPr="00843EFF">
        <w:rPr>
          <w:rFonts w:ascii="Times New Roman" w:eastAsia="Calibri" w:hAnsi="Times New Roman" w:cs="Times New Roman"/>
          <w:kern w:val="0"/>
          <w:sz w:val="24"/>
          <w:szCs w:val="24"/>
        </w:rPr>
        <w:t xml:space="preserve"> ilgtermiņā nozīmē autoceļu infrastruktūras iznīcināšanu vai bojāšanu, lai kavētu pārvietošanos, pierobežas zonu padarot necaurejamu, tai skaitā:</w:t>
      </w:r>
    </w:p>
    <w:p w14:paraId="4424C001" w14:textId="77777777" w:rsidR="00843EFF" w:rsidRPr="00843EFF" w:rsidRDefault="00843EFF" w:rsidP="00843EFF">
      <w:pPr>
        <w:numPr>
          <w:ilvl w:val="2"/>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atbilstoši iesaistīto institūciju, tai skaitā Aizsardzības ministrijas/Latvijas Nacionālo bruņoto spēku/VUGD kompetencei un atbildības sadalījumam, tiek paredzēti skaidri darbības mehānismi, kā krīzes situācijā mobilitātes ceļi tiks slēgti; </w:t>
      </w:r>
    </w:p>
    <w:p w14:paraId="50E6C60C" w14:textId="77777777" w:rsidR="00843EFF" w:rsidRPr="00843EFF" w:rsidRDefault="00843EFF" w:rsidP="00843EFF">
      <w:pPr>
        <w:numPr>
          <w:ilvl w:val="2"/>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projektēšanas gaitā tiek paredzēti inženiertehniskie risinājumi, kā var tikt bloķēti/padarīti neizmantojami konkrētie ceļi vai tilti;</w:t>
      </w:r>
    </w:p>
    <w:p w14:paraId="4048927A"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tiek attīstīta mobilitātes infrastruktūra, lai nodrošinātu spēju ātri reaģēt un pārvietoties gan operatīvajiem dienestiem (Neatliekamās medicīniskās palīdzības dienestam (turpmāk – NMPD), VUGD u.c.), gan </w:t>
      </w:r>
      <w:proofErr w:type="spellStart"/>
      <w:r w:rsidRPr="00843EFF">
        <w:rPr>
          <w:rFonts w:ascii="Times New Roman" w:eastAsia="Calibri" w:hAnsi="Times New Roman" w:cs="Times New Roman"/>
          <w:kern w:val="0"/>
          <w:sz w:val="24"/>
          <w:szCs w:val="24"/>
        </w:rPr>
        <w:t>lielizmēra</w:t>
      </w:r>
      <w:proofErr w:type="spellEnd"/>
      <w:r w:rsidRPr="00843EFF">
        <w:rPr>
          <w:rFonts w:ascii="Times New Roman" w:eastAsia="Calibri" w:hAnsi="Times New Roman" w:cs="Times New Roman"/>
          <w:kern w:val="0"/>
          <w:sz w:val="24"/>
          <w:szCs w:val="24"/>
        </w:rPr>
        <w:t xml:space="preserve"> militārajām vienībām un smagajiem automobiļiem, kas nodrošina smagu kravu pārvietošanu</w:t>
      </w:r>
      <w:r w:rsidRPr="00843EFF">
        <w:rPr>
          <w:rFonts w:ascii="Times New Roman" w:eastAsia="Calibri" w:hAnsi="Times New Roman" w:cs="Times New Roman"/>
          <w:kern w:val="0"/>
          <w:sz w:val="24"/>
          <w:szCs w:val="24"/>
          <w:vertAlign w:val="superscript"/>
        </w:rPr>
        <w:footnoteReference w:id="3"/>
      </w:r>
      <w:r w:rsidRPr="00843EFF">
        <w:rPr>
          <w:rFonts w:ascii="Times New Roman" w:eastAsia="Calibri" w:hAnsi="Times New Roman" w:cs="Times New Roman"/>
          <w:kern w:val="0"/>
          <w:sz w:val="24"/>
          <w:szCs w:val="24"/>
        </w:rPr>
        <w:t xml:space="preserve"> - ceļa infrastruktūra paredz 70-80 kravu (aptuveni 60 tonnas) pārvietošanu;</w:t>
      </w:r>
    </w:p>
    <w:p w14:paraId="3B281D2D"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autoceļiem, kas nodrošina būtisku transportlīdzekļu plūsmu, bet ir posmi bez apbraukšanas iespējas, vai tās nenodrošinās vismaz pusi no nepieciešamās slodzes, nepieciešams apvedceļš;</w:t>
      </w:r>
    </w:p>
    <w:p w14:paraId="0CF40C6F"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proofErr w:type="spellStart"/>
      <w:r w:rsidRPr="00843EFF">
        <w:rPr>
          <w:rFonts w:ascii="Times New Roman" w:eastAsia="Calibri" w:hAnsi="Times New Roman" w:cs="Times New Roman"/>
          <w:kern w:val="0"/>
          <w:sz w:val="24"/>
          <w:szCs w:val="24"/>
        </w:rPr>
        <w:t>ūdensšķēršļa</w:t>
      </w:r>
      <w:proofErr w:type="spellEnd"/>
      <w:r w:rsidRPr="00843EFF">
        <w:rPr>
          <w:rFonts w:ascii="Times New Roman" w:eastAsia="Calibri" w:hAnsi="Times New Roman" w:cs="Times New Roman"/>
          <w:kern w:val="0"/>
          <w:sz w:val="24"/>
          <w:szCs w:val="24"/>
        </w:rPr>
        <w:t xml:space="preserve"> jauna šķērsošanas infrastruktūra;</w:t>
      </w:r>
    </w:p>
    <w:p w14:paraId="098DC3F0"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dzelzceļa infrastruktūras objekti izpilda vispārējo kritēriju klimata pārmaiņu un ilgtspējas kontekstā, vienlaikus pasažieru un kravas pārvadājumi pa dzelzceļu neietekmē vietējas nozīmes, reģionālos vai valsts ceļus (satiksmes plūsmu), tostarp nenodarot būtisku kaitējumu ceļu infrastruktūrai gan </w:t>
      </w:r>
      <w:proofErr w:type="spellStart"/>
      <w:r w:rsidRPr="00843EFF">
        <w:rPr>
          <w:rFonts w:ascii="Times New Roman" w:eastAsia="Calibri" w:hAnsi="Times New Roman" w:cs="Times New Roman"/>
          <w:kern w:val="0"/>
          <w:sz w:val="24"/>
          <w:szCs w:val="24"/>
        </w:rPr>
        <w:t>lielapjoma</w:t>
      </w:r>
      <w:proofErr w:type="spellEnd"/>
      <w:r w:rsidRPr="00843EFF">
        <w:rPr>
          <w:rFonts w:ascii="Times New Roman" w:eastAsia="Calibri" w:hAnsi="Times New Roman" w:cs="Times New Roman"/>
          <w:kern w:val="0"/>
          <w:sz w:val="24"/>
          <w:szCs w:val="24"/>
        </w:rPr>
        <w:t xml:space="preserve"> svara, gan specifiskās ritošās daļas apdares dēļ. Dzelzceļa risinājumi ir būtiski militārās tehnikas pārvešanai</w:t>
      </w:r>
      <w:r w:rsidRPr="00843EFF">
        <w:rPr>
          <w:rFonts w:ascii="Times New Roman" w:eastAsia="Calibri" w:hAnsi="Times New Roman" w:cs="Times New Roman"/>
          <w:kern w:val="0"/>
        </w:rPr>
        <w:t xml:space="preserve">, tajā skaitā </w:t>
      </w:r>
      <w:r w:rsidRPr="00843EFF">
        <w:rPr>
          <w:rFonts w:ascii="Times New Roman" w:eastAsia="Calibri" w:hAnsi="Times New Roman" w:cs="Times New Roman"/>
          <w:kern w:val="0"/>
          <w:sz w:val="24"/>
          <w:szCs w:val="24"/>
        </w:rPr>
        <w:t>var ievērojami saīsināt piegādes ķēdes un samazināt laiku, kādā šī tehnika tiek nogādāta nepieciešamajā vietā. Dzelzceļa infrastruktūras objekti atvieglo arī augošo kravu pārvadājumu pieprasījumu visos industriālajos objektos;</w:t>
      </w:r>
    </w:p>
    <w:p w14:paraId="1EA277DA" w14:textId="77777777" w:rsidR="00843EFF" w:rsidRPr="00843EFF" w:rsidRDefault="00843EFF" w:rsidP="00843EFF">
      <w:pPr>
        <w:numPr>
          <w:ilvl w:val="0"/>
          <w:numId w:val="2"/>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attīstot autoceļu infrastruktūru, tiek veidoti evakuācijas ceļi.</w:t>
      </w:r>
    </w:p>
    <w:p w14:paraId="59DC995F" w14:textId="77777777" w:rsidR="00843EFF" w:rsidRPr="00843EFF" w:rsidRDefault="00843EFF" w:rsidP="00843EFF">
      <w:pPr>
        <w:spacing w:before="120" w:after="120" w:line="240" w:lineRule="auto"/>
        <w:ind w:left="360"/>
        <w:jc w:val="both"/>
        <w:rPr>
          <w:rFonts w:ascii="Times New Roman" w:eastAsia="Calibri" w:hAnsi="Times New Roman" w:cs="Times New Roman"/>
          <w:sz w:val="24"/>
          <w:szCs w:val="24"/>
        </w:rPr>
      </w:pPr>
      <w:bookmarkStart w:id="2" w:name="_Hlk161244029"/>
      <w:r w:rsidRPr="00843EFF">
        <w:rPr>
          <w:rFonts w:ascii="Times New Roman" w:eastAsia="Calibri" w:hAnsi="Times New Roman" w:cs="Times New Roman"/>
          <w:sz w:val="24"/>
          <w:szCs w:val="24"/>
        </w:rPr>
        <w:t>Kā specifiskais vērtēšanas kritērijs ir noteikts objektu tehniskais stāvoklis, attiecīgi t</w:t>
      </w:r>
      <w:bookmarkEnd w:id="2"/>
      <w:r w:rsidRPr="00843EFF">
        <w:rPr>
          <w:rFonts w:ascii="Times New Roman" w:eastAsia="Calibri" w:hAnsi="Times New Roman" w:cs="Times New Roman"/>
          <w:sz w:val="24"/>
          <w:szCs w:val="24"/>
        </w:rPr>
        <w:t>iks vērtēta detalizētāka informācija par atlasīto objektu tehnisko stāvokli, potenciālo būvniecībā izmantojamo tehnoloģiju un citām veicamajām darbībām, lai nodrošinātu tālāko objekta būvniecības procesu, tai skaitā:</w:t>
      </w:r>
    </w:p>
    <w:p w14:paraId="7EF4ADAC" w14:textId="77777777" w:rsidR="00843EFF" w:rsidRPr="00843EFF" w:rsidRDefault="00843EFF" w:rsidP="00843EFF">
      <w:pPr>
        <w:spacing w:before="120" w:after="120" w:line="240" w:lineRule="auto"/>
        <w:ind w:left="360"/>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1)</w:t>
      </w:r>
      <w:r w:rsidRPr="00843EFF">
        <w:rPr>
          <w:rFonts w:ascii="Times New Roman" w:eastAsia="Calibri" w:hAnsi="Times New Roman" w:cs="Times New Roman"/>
          <w:sz w:val="24"/>
          <w:szCs w:val="24"/>
        </w:rPr>
        <w:tab/>
        <w:t>potenciālo būvniecībā izmantojamā tehnoloģija;</w:t>
      </w:r>
    </w:p>
    <w:p w14:paraId="0BB7895D" w14:textId="77777777" w:rsidR="00843EFF" w:rsidRPr="00843EFF" w:rsidRDefault="00843EFF" w:rsidP="00843EFF">
      <w:pPr>
        <w:spacing w:before="120" w:after="120" w:line="240" w:lineRule="auto"/>
        <w:ind w:left="360"/>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2)</w:t>
      </w:r>
      <w:r w:rsidRPr="00843EFF">
        <w:rPr>
          <w:rFonts w:ascii="Times New Roman" w:eastAsia="Calibri" w:hAnsi="Times New Roman" w:cs="Times New Roman"/>
          <w:sz w:val="24"/>
          <w:szCs w:val="24"/>
        </w:rPr>
        <w:tab/>
        <w:t xml:space="preserve">vai plānotie ceļu un ar to saistītās infrastruktūras atjaunošanas/izbūves darbi sekmē klimata pārmaiņu pielāgošanās pasākumu īstenošanu, t.i., infrastruktūrai un apbūvei ir jābūt </w:t>
      </w:r>
      <w:proofErr w:type="spellStart"/>
      <w:r w:rsidRPr="00843EFF">
        <w:rPr>
          <w:rFonts w:ascii="Times New Roman" w:eastAsia="Calibri" w:hAnsi="Times New Roman" w:cs="Times New Roman"/>
          <w:sz w:val="24"/>
          <w:szCs w:val="24"/>
        </w:rPr>
        <w:t>klimatnoturīgai</w:t>
      </w:r>
      <w:proofErr w:type="spellEnd"/>
      <w:r w:rsidRPr="00843EFF">
        <w:rPr>
          <w:rFonts w:ascii="Times New Roman" w:eastAsia="Calibri" w:hAnsi="Times New Roman" w:cs="Times New Roman"/>
          <w:sz w:val="24"/>
          <w:szCs w:val="24"/>
        </w:rPr>
        <w:t xml:space="preserve"> (tā jāplāno atbilstoši iespējamajiem klimata riskiem);</w:t>
      </w:r>
    </w:p>
    <w:p w14:paraId="1B1D5B3A" w14:textId="77777777" w:rsidR="00843EFF" w:rsidRPr="00843EFF" w:rsidRDefault="00843EFF" w:rsidP="00843EFF">
      <w:pPr>
        <w:spacing w:before="120" w:after="120" w:line="240" w:lineRule="auto"/>
        <w:ind w:left="360"/>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lastRenderedPageBreak/>
        <w:t>3)</w:t>
      </w:r>
      <w:r w:rsidRPr="00843EFF">
        <w:rPr>
          <w:rFonts w:ascii="Times New Roman" w:eastAsia="Calibri" w:hAnsi="Times New Roman" w:cs="Times New Roman"/>
          <w:sz w:val="24"/>
          <w:szCs w:val="24"/>
        </w:rPr>
        <w:tab/>
        <w:t>būvniecības dokumentācijas gatavības stadija un nepieciešamās tālākās darbības tās precizēšanai vai sagatavošanai, prioritāti piešķirot augstas gatavības projektiem.</w:t>
      </w:r>
    </w:p>
    <w:p w14:paraId="50417A84" w14:textId="77777777" w:rsidR="00843EFF" w:rsidRPr="00843EFF" w:rsidRDefault="00843EFF" w:rsidP="00843EFF">
      <w:pPr>
        <w:spacing w:before="120" w:after="120" w:line="240" w:lineRule="auto"/>
        <w:ind w:left="720"/>
        <w:jc w:val="both"/>
        <w:rPr>
          <w:rFonts w:ascii="Times New Roman" w:eastAsia="Calibri" w:hAnsi="Times New Roman" w:cs="Times New Roman"/>
          <w:kern w:val="0"/>
          <w:sz w:val="24"/>
          <w:szCs w:val="24"/>
        </w:rPr>
      </w:pPr>
    </w:p>
    <w:p w14:paraId="7B05E780"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b/>
          <w:bCs/>
          <w:kern w:val="0"/>
          <w:sz w:val="24"/>
          <w:szCs w:val="24"/>
          <w:lang w:eastAsia="lv-LV"/>
          <w14:ligatures w14:val="none"/>
        </w:rPr>
        <w:t>1.2. Civilais pielietojums</w:t>
      </w:r>
    </w:p>
    <w:p w14:paraId="2C8F19A1"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b/>
          <w:bCs/>
          <w:kern w:val="0"/>
          <w:sz w:val="24"/>
          <w:szCs w:val="24"/>
          <w:lang w:eastAsia="lv-LV"/>
          <w14:ligatures w14:val="none"/>
        </w:rPr>
        <w:t>Otrajā kārtā</w:t>
      </w:r>
      <w:r w:rsidRPr="00843EFF">
        <w:rPr>
          <w:rFonts w:ascii="Times New Roman" w:eastAsia="Times New Roman" w:hAnsi="Times New Roman" w:cs="Times New Roman"/>
          <w:kern w:val="0"/>
          <w:sz w:val="24"/>
          <w:szCs w:val="24"/>
          <w:lang w:eastAsia="lv-LV"/>
          <w14:ligatures w14:val="none"/>
        </w:rPr>
        <w:t xml:space="preserve"> tiks vērtēta priekšlikumu atbilstība to civilajam pielietojumam, kur atbilstoši reģionālās attīstības vajadzībām šiem objektiem jānodrošina administratīvo centru sasniedzamība, t.sk. darba vietu un pakalpojumu sasniedzamība. </w:t>
      </w:r>
    </w:p>
    <w:p w14:paraId="08D70058" w14:textId="3CCBF4AC"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Šajā izvērtēšanas kārtā, nodrošinot </w:t>
      </w:r>
      <w:proofErr w:type="spellStart"/>
      <w:r w:rsidRPr="00843EFF">
        <w:rPr>
          <w:rFonts w:ascii="Times New Roman" w:eastAsia="Calibri" w:hAnsi="Times New Roman" w:cs="Times New Roman"/>
          <w:sz w:val="24"/>
          <w:szCs w:val="24"/>
        </w:rPr>
        <w:t>ranžēšanu</w:t>
      </w:r>
      <w:proofErr w:type="spellEnd"/>
      <w:r w:rsidRPr="00843EFF">
        <w:rPr>
          <w:rFonts w:ascii="Times New Roman" w:eastAsia="Calibri" w:hAnsi="Times New Roman" w:cs="Times New Roman"/>
          <w:sz w:val="24"/>
          <w:szCs w:val="24"/>
        </w:rPr>
        <w:t xml:space="preserve">, priekšlikumu vērtēšanu veiks plānošanas reģioni sadarbībā ar </w:t>
      </w:r>
      <w:r w:rsidR="000605A1">
        <w:rPr>
          <w:rFonts w:ascii="Times New Roman" w:eastAsia="Calibri" w:hAnsi="Times New Roman" w:cs="Times New Roman"/>
          <w:sz w:val="24"/>
          <w:szCs w:val="24"/>
        </w:rPr>
        <w:t xml:space="preserve">Viedās administrācijas un reģionālās attīstības ministriju (turpmāk – </w:t>
      </w:r>
      <w:r w:rsidRPr="00843EFF">
        <w:rPr>
          <w:rFonts w:ascii="Times New Roman" w:eastAsia="Calibri" w:hAnsi="Times New Roman" w:cs="Times New Roman"/>
          <w:sz w:val="24"/>
          <w:szCs w:val="24"/>
        </w:rPr>
        <w:t>VARAM</w:t>
      </w:r>
      <w:r w:rsidR="000605A1">
        <w:rPr>
          <w:rFonts w:ascii="Times New Roman" w:eastAsia="Calibri" w:hAnsi="Times New Roman" w:cs="Times New Roman"/>
          <w:sz w:val="24"/>
          <w:szCs w:val="24"/>
        </w:rPr>
        <w:t>)</w:t>
      </w:r>
      <w:r w:rsidRPr="00843EFF">
        <w:rPr>
          <w:rFonts w:ascii="Times New Roman" w:eastAsia="Calibri" w:hAnsi="Times New Roman" w:cs="Times New Roman"/>
          <w:sz w:val="24"/>
          <w:szCs w:val="24"/>
        </w:rPr>
        <w:t xml:space="preserve"> un Satiksmes ministriju. Nepieciešamības gadījumā vērtēšanas procesā tiks piesaistītas arī citas institūcijas.</w:t>
      </w:r>
    </w:p>
    <w:p w14:paraId="3B34F50E"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b/>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 xml:space="preserve">Lai pašvaldību identificētās vajadzības tiktu virzītas tālākai izskatīšanai, </w:t>
      </w:r>
      <w:r w:rsidRPr="00843EFF">
        <w:rPr>
          <w:rFonts w:ascii="Times New Roman" w:eastAsia="Times New Roman" w:hAnsi="Times New Roman" w:cs="Times New Roman"/>
          <w:b/>
          <w:kern w:val="0"/>
          <w:sz w:val="24"/>
          <w:szCs w:val="24"/>
          <w:lang w:eastAsia="lv-LV"/>
          <w14:ligatures w14:val="none"/>
        </w:rPr>
        <w:t xml:space="preserve">tām </w:t>
      </w:r>
      <w:r w:rsidRPr="00843EFF">
        <w:rPr>
          <w:rFonts w:ascii="Times New Roman" w:eastAsia="Times New Roman" w:hAnsi="Times New Roman" w:cs="Times New Roman"/>
          <w:kern w:val="0"/>
          <w:sz w:val="24"/>
          <w:szCs w:val="24"/>
          <w:lang w:eastAsia="lv-LV"/>
          <w14:ligatures w14:val="none"/>
        </w:rPr>
        <w:t>neatkarīgi no to īpašnieka/pārvaldītāja</w:t>
      </w:r>
      <w:r w:rsidRPr="00843EFF">
        <w:rPr>
          <w:rFonts w:ascii="Times New Roman" w:eastAsia="Times New Roman" w:hAnsi="Times New Roman" w:cs="Times New Roman"/>
          <w:b/>
          <w:kern w:val="0"/>
          <w:sz w:val="24"/>
          <w:szCs w:val="24"/>
          <w:lang w:eastAsia="lv-LV"/>
          <w14:ligatures w14:val="none"/>
        </w:rPr>
        <w:t xml:space="preserve"> ir jāatbilst vismaz vienam no sekojošiem vispārīgajiem kritērijiem:</w:t>
      </w:r>
    </w:p>
    <w:p w14:paraId="79A9DFB1" w14:textId="77777777" w:rsidR="00843EFF" w:rsidRPr="00843EFF" w:rsidRDefault="00843EFF" w:rsidP="00843EFF">
      <w:pPr>
        <w:numPr>
          <w:ilvl w:val="0"/>
          <w:numId w:val="4"/>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ceļu investīciju projekts nodrošina novada centra sasniedzamību ar novada teritoriālajām vienībām, tostarp publisko pakalpojumu (t.sk. izglītības) un darba vietu sasniedzamību; tas ir kritiski svarīgs no preču un pakalpojumu nodrošināšanas viedokļa, nodrošina uzņēmuma sasniedzamību, tai skaitā nodrošinot pārtikas produktu piegādes ķēdes;</w:t>
      </w:r>
    </w:p>
    <w:p w14:paraId="04F77FB1" w14:textId="77777777" w:rsidR="00843EFF" w:rsidRPr="00843EFF" w:rsidRDefault="00843EFF" w:rsidP="00843EFF">
      <w:pPr>
        <w:numPr>
          <w:ilvl w:val="0"/>
          <w:numId w:val="4"/>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esoša tilta vai pārvada vispārējā inspekcija vai speciālā inspekcija ir konstatējusi, ka nepieciešami neatliekami būvniecības darbi, ceļa vai tā posma vizuālais vērtējums ir “ļoti slikts” vai “slikts” vai analoģisks vērtējums citā vērtēšanas skalā atbilstoši pašvaldības apstiprinātai metodikai (kritērijs neattiecas uz gadījumu, kad projekts paredz jauna, tilta, pārvada, ceļa vai tā posma būvniecību), tādā veidā uzlabojot ceļu satiksmes drošību un transporta pieejamību.</w:t>
      </w:r>
    </w:p>
    <w:p w14:paraId="25EA5C7B"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p>
    <w:p w14:paraId="2AEA907C" w14:textId="77777777" w:rsidR="00843EFF" w:rsidRPr="00843EFF" w:rsidRDefault="00843EFF" w:rsidP="00843EFF">
      <w:pPr>
        <w:numPr>
          <w:ilvl w:val="0"/>
          <w:numId w:val="1"/>
        </w:numPr>
        <w:spacing w:before="120" w:after="120" w:line="240" w:lineRule="auto"/>
        <w:jc w:val="both"/>
        <w:textAlignment w:val="baseline"/>
        <w:rPr>
          <w:rFonts w:ascii="Times New Roman" w:eastAsia="Times New Roman" w:hAnsi="Times New Roman" w:cs="Times New Roman"/>
          <w:b/>
          <w:bCs/>
          <w:kern w:val="0"/>
          <w:sz w:val="24"/>
          <w:szCs w:val="24"/>
          <w:lang w:eastAsia="lv-LV"/>
          <w14:ligatures w14:val="none"/>
        </w:rPr>
      </w:pPr>
      <w:r w:rsidRPr="00843EFF">
        <w:rPr>
          <w:rFonts w:ascii="Times New Roman" w:eastAsia="Times New Roman" w:hAnsi="Times New Roman" w:cs="Times New Roman"/>
          <w:b/>
          <w:bCs/>
          <w:kern w:val="0"/>
          <w:sz w:val="24"/>
          <w:szCs w:val="24"/>
          <w:lang w:eastAsia="lv-LV"/>
          <w14:ligatures w14:val="none"/>
        </w:rPr>
        <w:t xml:space="preserve">Pakalpojumu infrastruktūras objektu priekšlikumu izvērtēšanas kritēriji </w:t>
      </w:r>
    </w:p>
    <w:p w14:paraId="03B5A890" w14:textId="77777777" w:rsidR="00843EFF" w:rsidRPr="00843EFF" w:rsidRDefault="00843EFF" w:rsidP="00843EFF">
      <w:pPr>
        <w:spacing w:before="120" w:after="120" w:line="240" w:lineRule="auto"/>
        <w:rPr>
          <w:rFonts w:ascii="Times New Roman" w:eastAsia="Times New Roman" w:hAnsi="Times New Roman" w:cs="Times New Roman"/>
          <w:b/>
          <w:bCs/>
          <w:sz w:val="24"/>
          <w:szCs w:val="24"/>
          <w:lang w:eastAsia="lv-LV"/>
          <w14:ligatures w14:val="none"/>
        </w:rPr>
      </w:pPr>
      <w:r w:rsidRPr="00843EFF">
        <w:rPr>
          <w:rFonts w:ascii="Times New Roman" w:eastAsia="Times New Roman" w:hAnsi="Times New Roman" w:cs="Times New Roman"/>
          <w:b/>
          <w:bCs/>
          <w:sz w:val="24"/>
          <w:szCs w:val="24"/>
          <w:lang w:eastAsia="lv-LV"/>
          <w14:ligatures w14:val="none"/>
        </w:rPr>
        <w:t>2.1. Militārais pielietojums un civilās aizsardzības vajadzības</w:t>
      </w:r>
    </w:p>
    <w:p w14:paraId="6B1042AC"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b/>
          <w:bCs/>
          <w:sz w:val="24"/>
          <w:szCs w:val="24"/>
        </w:rPr>
        <w:t>Pirmajā kārtā</w:t>
      </w:r>
      <w:r w:rsidRPr="00843EFF">
        <w:rPr>
          <w:rFonts w:ascii="Times New Roman" w:eastAsia="Calibri" w:hAnsi="Times New Roman" w:cs="Times New Roman"/>
          <w:sz w:val="24"/>
          <w:szCs w:val="24"/>
        </w:rPr>
        <w:t xml:space="preserve"> tiks vērtēts objekta militārais pielietojums un tas, vai objekts nodrošina civilās aizsardzības vajadzības. Pakalpojumu infrastruktūras objekts no divējādas lietojamības viedokļa paredz tādas sabiedriskās ēkas (piemēram, izglītības vai sociālās aprūpes iestāde) izbūvi vai atjaunošanu, kuras būvniecības procesā tiek īstenoti risinājumi patvertnes ierīkošanai, pielāgojot šim mērķim ēkas pagrabu.</w:t>
      </w:r>
    </w:p>
    <w:p w14:paraId="69DAC0AF"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Šajā izvērtēšanas kārtā, nodrošinot </w:t>
      </w:r>
      <w:proofErr w:type="spellStart"/>
      <w:r w:rsidRPr="00843EFF">
        <w:rPr>
          <w:rFonts w:ascii="Times New Roman" w:eastAsia="Calibri" w:hAnsi="Times New Roman" w:cs="Times New Roman"/>
          <w:sz w:val="24"/>
          <w:szCs w:val="24"/>
        </w:rPr>
        <w:t>ranžēšanu</w:t>
      </w:r>
      <w:proofErr w:type="spellEnd"/>
      <w:r w:rsidRPr="00843EFF">
        <w:rPr>
          <w:rFonts w:ascii="Times New Roman" w:eastAsia="Calibri" w:hAnsi="Times New Roman" w:cs="Times New Roman"/>
          <w:sz w:val="24"/>
          <w:szCs w:val="24"/>
        </w:rPr>
        <w:t xml:space="preserve">, priekšlikumu vērtēšanu veiks plānošanas reģioni sadarbībā ar Aizsardzības un </w:t>
      </w:r>
      <w:proofErr w:type="spellStart"/>
      <w:r w:rsidRPr="00843EFF">
        <w:rPr>
          <w:rFonts w:ascii="Times New Roman" w:eastAsia="Calibri" w:hAnsi="Times New Roman" w:cs="Times New Roman"/>
          <w:sz w:val="24"/>
          <w:szCs w:val="24"/>
        </w:rPr>
        <w:t>Iekšlietu</w:t>
      </w:r>
      <w:proofErr w:type="spellEnd"/>
      <w:r w:rsidRPr="00843EFF">
        <w:rPr>
          <w:rFonts w:ascii="Times New Roman" w:eastAsia="Calibri" w:hAnsi="Times New Roman" w:cs="Times New Roman"/>
          <w:sz w:val="24"/>
          <w:szCs w:val="24"/>
        </w:rPr>
        <w:t xml:space="preserve"> ministrijām. Nepieciešamības gadījumā vērtēšanas procesā tiks piesaistītas arī citas institūcijas.</w:t>
      </w:r>
    </w:p>
    <w:p w14:paraId="081EF1B0"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Lai pašvaldību sniegtie pakalpojumu infrastruktūras objektu priekšlikumi tiktu virzīti tālākai izvērtēšanai, </w:t>
      </w:r>
      <w:r w:rsidRPr="00843EFF">
        <w:rPr>
          <w:rFonts w:ascii="Times New Roman" w:eastAsia="Calibri" w:hAnsi="Times New Roman" w:cs="Times New Roman"/>
          <w:b/>
          <w:sz w:val="24"/>
          <w:szCs w:val="24"/>
        </w:rPr>
        <w:t xml:space="preserve">tiem jāatbilst sekojošiem vispārīgajiem </w:t>
      </w:r>
      <w:r w:rsidRPr="00843EFF">
        <w:rPr>
          <w:rFonts w:ascii="Times New Roman" w:eastAsia="Calibri" w:hAnsi="Times New Roman" w:cs="Times New Roman"/>
          <w:b/>
          <w:bCs/>
          <w:sz w:val="24"/>
          <w:szCs w:val="24"/>
        </w:rPr>
        <w:t xml:space="preserve">kritērijiem un </w:t>
      </w:r>
      <w:r w:rsidRPr="00843EFF">
        <w:rPr>
          <w:rFonts w:ascii="Times New Roman" w:eastAsia="Calibri" w:hAnsi="Times New Roman" w:cs="Times New Roman"/>
          <w:b/>
          <w:sz w:val="24"/>
          <w:szCs w:val="24"/>
        </w:rPr>
        <w:t>principiem</w:t>
      </w:r>
      <w:r w:rsidRPr="00843EFF">
        <w:rPr>
          <w:rFonts w:ascii="Times New Roman" w:eastAsia="Calibri" w:hAnsi="Times New Roman" w:cs="Times New Roman"/>
          <w:sz w:val="24"/>
          <w:szCs w:val="24"/>
        </w:rPr>
        <w:t>, nodrošinot šo objektu militāro pielietojumu un atbilstību civilās aizsardzības vajadzībām:</w:t>
      </w:r>
    </w:p>
    <w:p w14:paraId="262AA6EF" w14:textId="3A2C121E"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tiek nodrošināta sinerģija starp pakalpojumu infrastruktūras objektu pielietojumu, lai tie būtu izmantojami civilajām vajadzībām, militārajām vajadzībām, civilai aizsardzībai, kā arī sekmētu valsts tautsaimniecību kopumā. Šis princips ir saistošs arī apdraudējuma laikā, t.i., līdztekus sabiedriskās ēkas pamata pielietojumam, tā var būt izmantojama militārā atbalsta nodrošināšanai, piemēram, uzņemot </w:t>
      </w:r>
      <w:r w:rsidR="00B70C4E" w:rsidRPr="00B70C4E">
        <w:rPr>
          <w:rFonts w:ascii="Times New Roman" w:eastAsia="Calibri" w:hAnsi="Times New Roman" w:cs="Times New Roman"/>
          <w:kern w:val="0"/>
          <w:sz w:val="24"/>
          <w:szCs w:val="24"/>
        </w:rPr>
        <w:t>Ziemeļatlantijas līguma organizācija</w:t>
      </w:r>
      <w:r w:rsidR="00B70C4E">
        <w:rPr>
          <w:rFonts w:ascii="Times New Roman" w:eastAsia="Calibri" w:hAnsi="Times New Roman" w:cs="Times New Roman"/>
          <w:kern w:val="0"/>
          <w:sz w:val="24"/>
          <w:szCs w:val="24"/>
        </w:rPr>
        <w:t>s</w:t>
      </w:r>
      <w:r w:rsidR="00B70C4E" w:rsidRPr="00B70C4E">
        <w:rPr>
          <w:rFonts w:ascii="Times New Roman" w:eastAsia="Calibri" w:hAnsi="Times New Roman" w:cs="Times New Roman"/>
          <w:kern w:val="0"/>
          <w:sz w:val="24"/>
          <w:szCs w:val="24"/>
        </w:rPr>
        <w:t xml:space="preserve"> </w:t>
      </w:r>
      <w:r w:rsidR="00B70C4E">
        <w:rPr>
          <w:rFonts w:ascii="Times New Roman" w:eastAsia="Calibri" w:hAnsi="Times New Roman" w:cs="Times New Roman"/>
          <w:kern w:val="0"/>
          <w:sz w:val="24"/>
          <w:szCs w:val="24"/>
        </w:rPr>
        <w:t xml:space="preserve">(turpmāk – </w:t>
      </w:r>
      <w:r w:rsidRPr="00843EFF">
        <w:rPr>
          <w:rFonts w:ascii="Times New Roman" w:eastAsia="Calibri" w:hAnsi="Times New Roman" w:cs="Times New Roman"/>
          <w:kern w:val="0"/>
          <w:sz w:val="24"/>
          <w:szCs w:val="24"/>
        </w:rPr>
        <w:t>NATO</w:t>
      </w:r>
      <w:r w:rsidR="00B70C4E">
        <w:rPr>
          <w:rFonts w:ascii="Times New Roman" w:eastAsia="Calibri" w:hAnsi="Times New Roman" w:cs="Times New Roman"/>
          <w:kern w:val="0"/>
          <w:sz w:val="24"/>
          <w:szCs w:val="24"/>
        </w:rPr>
        <w:t>)</w:t>
      </w:r>
      <w:r w:rsidRPr="00843EFF">
        <w:rPr>
          <w:rFonts w:ascii="Times New Roman" w:eastAsia="Calibri" w:hAnsi="Times New Roman" w:cs="Times New Roman"/>
          <w:kern w:val="0"/>
          <w:sz w:val="24"/>
          <w:szCs w:val="24"/>
        </w:rPr>
        <w:t xml:space="preserve"> sabiedrotos, kur šādas ēkas būtu izmantojamas nakšņošanai (pajumtei), ēdināšanai u.c.;</w:t>
      </w:r>
    </w:p>
    <w:p w14:paraId="4D52E8EE" w14:textId="77777777"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lastRenderedPageBreak/>
        <w:t>attiecībā uz esošu sabiedrisko ēku pielāgošanu civilai aizsardzībai tiek ievērots, ka veiktie ieguldījumi ir loģiski pret sasniedzamo efektu;</w:t>
      </w:r>
    </w:p>
    <w:p w14:paraId="00BEBE98" w14:textId="77777777"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jaunu patvertņu būvniecībai un esošo būvju pielāgošanai patvertnēm ir izstrādātas vadlīnijas</w:t>
      </w:r>
      <w:r w:rsidRPr="00843EFF">
        <w:rPr>
          <w:rFonts w:ascii="Times New Roman" w:eastAsia="Calibri" w:hAnsi="Times New Roman" w:cs="Times New Roman"/>
          <w:kern w:val="0"/>
          <w:sz w:val="24"/>
          <w:szCs w:val="24"/>
          <w:vertAlign w:val="superscript"/>
        </w:rPr>
        <w:footnoteReference w:id="4"/>
      </w:r>
      <w:r w:rsidRPr="00843EFF">
        <w:rPr>
          <w:rFonts w:ascii="Times New Roman" w:eastAsia="Calibri" w:hAnsi="Times New Roman" w:cs="Times New Roman"/>
          <w:kern w:val="0"/>
          <w:sz w:val="24"/>
          <w:szCs w:val="24"/>
        </w:rPr>
        <w:t xml:space="preserve"> par minimālajām tehniskajām prasībām ēkās esošo telpu vai telpu grupu piemērotībai patvertnes vai vietas, kur var patverties atjaunošanai vai izveidošanai. Vienlaikus no civilās aizsardzības viedokļa attiecībā uz patvertnēm varētu tikt attiecināti šādi kritēriji</w:t>
      </w:r>
      <w:r w:rsidRPr="00843EFF">
        <w:rPr>
          <w:rFonts w:ascii="Times New Roman" w:eastAsia="Calibri" w:hAnsi="Times New Roman" w:cs="Times New Roman"/>
          <w:kern w:val="0"/>
          <w:sz w:val="24"/>
          <w:szCs w:val="24"/>
          <w:vertAlign w:val="superscript"/>
        </w:rPr>
        <w:footnoteReference w:id="5"/>
      </w:r>
      <w:r w:rsidRPr="00843EFF">
        <w:rPr>
          <w:rFonts w:ascii="Times New Roman" w:eastAsia="Calibri" w:hAnsi="Times New Roman" w:cs="Times New Roman"/>
          <w:kern w:val="0"/>
          <w:sz w:val="24"/>
          <w:szCs w:val="24"/>
        </w:rPr>
        <w:t>:</w:t>
      </w:r>
    </w:p>
    <w:p w14:paraId="30A26F50" w14:textId="77777777" w:rsidR="00843EFF" w:rsidRPr="00843EFF" w:rsidRDefault="00843EFF" w:rsidP="00843EFF">
      <w:pPr>
        <w:numPr>
          <w:ilvl w:val="0"/>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 xml:space="preserve">patvertņu galvenā funkcija militāra apdraudējuma gadījumā ir spēja aizsargāt no artilērijas šāvieniem un sargāt no netieša trieciena, piemēram, atlūzām no raķetēm - līdz ar to patvertnēm paredzētas mūra sienas. Viens no risinājumiem patvertņu izbūvei ir dzelzsbetona “kapsulas” (būdiņas), kur patverties, un kas pieejamas publiskajā </w:t>
      </w:r>
      <w:proofErr w:type="spellStart"/>
      <w:r w:rsidRPr="00843EFF">
        <w:rPr>
          <w:rFonts w:ascii="Times New Roman" w:eastAsia="Calibri" w:hAnsi="Times New Roman" w:cs="Times New Roman"/>
          <w:kern w:val="0"/>
          <w:sz w:val="24"/>
          <w:szCs w:val="24"/>
        </w:rPr>
        <w:t>ārtelpā</w:t>
      </w:r>
      <w:proofErr w:type="spellEnd"/>
      <w:r w:rsidRPr="00843EFF">
        <w:rPr>
          <w:rFonts w:ascii="Times New Roman" w:eastAsia="Calibri" w:hAnsi="Times New Roman" w:cs="Times New Roman"/>
          <w:kern w:val="0"/>
          <w:sz w:val="24"/>
          <w:szCs w:val="24"/>
        </w:rPr>
        <w:t>;</w:t>
      </w:r>
    </w:p>
    <w:p w14:paraId="62951C57" w14:textId="77777777" w:rsidR="00843EFF" w:rsidRPr="00843EFF" w:rsidRDefault="00843EFF" w:rsidP="00843EFF">
      <w:pPr>
        <w:numPr>
          <w:ilvl w:val="0"/>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ņemot vērā ierobežotās finanšu līdzekļu piesaistes iespējas, primāri paredzēts nevis būvēt jaunas patvertnes, bet apzināt būves, kuras var tikt izmantotas kā patvertnes, veicot attiecīgus ēkas vai tās daļas (piemēram, pagrabu) pielāgošanas risinājumus. Ēku pagrabiem jābūt pielāgotiem, t.i., ja ēka sabrūk, pagraba pārsegums nedrīkst iebrukt (tam jāiztur slodze); ieejai pagrabā jābūt alternatīvām – tā vienīga izeja nedrīkst būt ēkas iekšienē, tai jābūt ārpus ēkas; vienlaikus šajās vietās jābūt ierīkotai iespējai padzerties, apmeklēt labierīcības, kā arī jāparedz risinājumi, lai šāda patvertne būtu izmantojama arī ziemas apstākļos;</w:t>
      </w:r>
    </w:p>
    <w:p w14:paraId="0D6D1781" w14:textId="77777777"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apdraudējuma gadījumā izšķiroša ir medicīnas infrastruktūras un veselības nozares gatavība krīzēm. Šis ir arī viens no septiņiem NATO Nācijas noturības rādītājiem (</w:t>
      </w:r>
      <w:proofErr w:type="spellStart"/>
      <w:r w:rsidRPr="00843EFF">
        <w:rPr>
          <w:rFonts w:ascii="Times New Roman" w:eastAsia="Calibri" w:hAnsi="Times New Roman" w:cs="Times New Roman"/>
          <w:i/>
          <w:iCs/>
          <w:kern w:val="0"/>
          <w:sz w:val="24"/>
          <w:szCs w:val="24"/>
        </w:rPr>
        <w:t>Resilience</w:t>
      </w:r>
      <w:proofErr w:type="spellEnd"/>
      <w:r w:rsidRPr="00843EFF">
        <w:rPr>
          <w:rFonts w:ascii="Times New Roman" w:eastAsia="Calibri" w:hAnsi="Times New Roman" w:cs="Times New Roman"/>
          <w:i/>
          <w:iCs/>
          <w:kern w:val="0"/>
          <w:sz w:val="24"/>
          <w:szCs w:val="24"/>
        </w:rPr>
        <w:t xml:space="preserve"> </w:t>
      </w:r>
      <w:proofErr w:type="spellStart"/>
      <w:r w:rsidRPr="00843EFF">
        <w:rPr>
          <w:rFonts w:ascii="Times New Roman" w:eastAsia="Calibri" w:hAnsi="Times New Roman" w:cs="Times New Roman"/>
          <w:i/>
          <w:iCs/>
          <w:kern w:val="0"/>
          <w:sz w:val="24"/>
          <w:szCs w:val="24"/>
        </w:rPr>
        <w:t>through</w:t>
      </w:r>
      <w:proofErr w:type="spellEnd"/>
      <w:r w:rsidRPr="00843EFF">
        <w:rPr>
          <w:rFonts w:ascii="Times New Roman" w:eastAsia="Calibri" w:hAnsi="Times New Roman" w:cs="Times New Roman"/>
          <w:i/>
          <w:iCs/>
          <w:kern w:val="0"/>
          <w:sz w:val="24"/>
          <w:szCs w:val="24"/>
        </w:rPr>
        <w:t xml:space="preserve"> </w:t>
      </w:r>
      <w:proofErr w:type="spellStart"/>
      <w:r w:rsidRPr="00843EFF">
        <w:rPr>
          <w:rFonts w:ascii="Times New Roman" w:eastAsia="Calibri" w:hAnsi="Times New Roman" w:cs="Times New Roman"/>
          <w:i/>
          <w:iCs/>
          <w:kern w:val="0"/>
          <w:sz w:val="24"/>
          <w:szCs w:val="24"/>
        </w:rPr>
        <w:t>Civil</w:t>
      </w:r>
      <w:proofErr w:type="spellEnd"/>
      <w:r w:rsidRPr="00843EFF">
        <w:rPr>
          <w:rFonts w:ascii="Times New Roman" w:eastAsia="Calibri" w:hAnsi="Times New Roman" w:cs="Times New Roman"/>
          <w:i/>
          <w:iCs/>
          <w:kern w:val="0"/>
          <w:sz w:val="24"/>
          <w:szCs w:val="24"/>
        </w:rPr>
        <w:t xml:space="preserve"> </w:t>
      </w:r>
      <w:proofErr w:type="spellStart"/>
      <w:r w:rsidRPr="00843EFF">
        <w:rPr>
          <w:rFonts w:ascii="Times New Roman" w:eastAsia="Calibri" w:hAnsi="Times New Roman" w:cs="Times New Roman"/>
          <w:i/>
          <w:iCs/>
          <w:kern w:val="0"/>
          <w:sz w:val="24"/>
          <w:szCs w:val="24"/>
        </w:rPr>
        <w:t>Preparedness</w:t>
      </w:r>
      <w:proofErr w:type="spellEnd"/>
      <w:r w:rsidRPr="00843EFF">
        <w:rPr>
          <w:rFonts w:ascii="Times New Roman" w:eastAsia="Calibri" w:hAnsi="Times New Roman" w:cs="Times New Roman"/>
          <w:i/>
          <w:iCs/>
          <w:kern w:val="0"/>
          <w:sz w:val="24"/>
          <w:szCs w:val="24"/>
          <w:vertAlign w:val="superscript"/>
        </w:rPr>
        <w:footnoteReference w:id="6"/>
      </w:r>
      <w:r w:rsidRPr="00843EFF">
        <w:rPr>
          <w:rFonts w:ascii="Times New Roman" w:eastAsia="Calibri" w:hAnsi="Times New Roman" w:cs="Times New Roman"/>
          <w:kern w:val="0"/>
          <w:sz w:val="24"/>
          <w:szCs w:val="24"/>
        </w:rPr>
        <w:t>);</w:t>
      </w:r>
    </w:p>
    <w:p w14:paraId="2D2B5C39" w14:textId="77777777"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tiek paredzēti medicīniskās evakuācijas risinājumi;</w:t>
      </w:r>
    </w:p>
    <w:p w14:paraId="737DBE8F" w14:textId="77777777" w:rsidR="00843EFF" w:rsidRPr="00843EFF" w:rsidRDefault="00843EFF" w:rsidP="00843EFF">
      <w:pPr>
        <w:numPr>
          <w:ilvl w:val="0"/>
          <w:numId w:val="3"/>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papildu pakalpojumu infrastruktūras objektiem tiek paredzēts šāds pielietojums:</w:t>
      </w:r>
    </w:p>
    <w:p w14:paraId="3A047B92" w14:textId="77777777" w:rsidR="00843EFF" w:rsidRPr="00843EFF" w:rsidRDefault="00843EFF" w:rsidP="00843EFF">
      <w:pPr>
        <w:numPr>
          <w:ilvl w:val="1"/>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ūdenstilpnēm pieguļošā teritorija tiek attīstīta, nodrošinot to civilās aizsardzības pielietojumu, piemēram, ūdenstilpņu piekrastes teritorija var tikt izmantota kā piestātne un tehnikas vienību izvietošanas vieta;</w:t>
      </w:r>
    </w:p>
    <w:p w14:paraId="5905612F" w14:textId="77777777" w:rsidR="00843EFF" w:rsidRPr="00843EFF" w:rsidRDefault="00843EFF" w:rsidP="00843EFF">
      <w:pPr>
        <w:numPr>
          <w:ilvl w:val="1"/>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ēku jumti kalpo kā helikopteru nolaišanās laukums blīvi apdzīvotās vietās, kur nav iespējami citi risinājumi;</w:t>
      </w:r>
    </w:p>
    <w:p w14:paraId="3E6E3D6A" w14:textId="77777777" w:rsidR="00843EFF" w:rsidRPr="00843EFF" w:rsidRDefault="00843EFF" w:rsidP="00843EFF">
      <w:pPr>
        <w:numPr>
          <w:ilvl w:val="1"/>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pakalpojumu infrastruktūras objekti krīzes situācijā veic arī citu funkciju, piemēram, nodrošinot vietu kultūras vērtību drošai uzglabāšanai, pārtikas produktu rezervju un citu resursu glabāšanai un izsniegšanai;</w:t>
      </w:r>
    </w:p>
    <w:p w14:paraId="2636D038" w14:textId="77777777" w:rsidR="00843EFF" w:rsidRPr="00843EFF" w:rsidRDefault="00843EFF" w:rsidP="00843EFF">
      <w:pPr>
        <w:numPr>
          <w:ilvl w:val="1"/>
          <w:numId w:val="5"/>
        </w:numPr>
        <w:spacing w:before="120" w:after="120" w:line="240" w:lineRule="auto"/>
        <w:jc w:val="both"/>
        <w:rPr>
          <w:rFonts w:ascii="Times New Roman" w:eastAsia="Calibri" w:hAnsi="Times New Roman" w:cs="Times New Roman"/>
          <w:kern w:val="0"/>
          <w:sz w:val="24"/>
          <w:szCs w:val="24"/>
        </w:rPr>
      </w:pPr>
      <w:r w:rsidRPr="00843EFF">
        <w:rPr>
          <w:rFonts w:ascii="Times New Roman" w:eastAsia="Calibri" w:hAnsi="Times New Roman" w:cs="Times New Roman"/>
          <w:kern w:val="0"/>
          <w:sz w:val="24"/>
          <w:szCs w:val="24"/>
        </w:rPr>
        <w:t>tiek nodrošinātas papildu ūdens ņemšanas vietas.</w:t>
      </w:r>
    </w:p>
    <w:p w14:paraId="1FDEBD7A" w14:textId="77777777" w:rsidR="00843EFF" w:rsidRPr="00843EFF" w:rsidRDefault="00843EFF" w:rsidP="00843EFF">
      <w:pPr>
        <w:spacing w:before="120" w:after="120" w:line="240" w:lineRule="auto"/>
        <w:jc w:val="both"/>
        <w:textAlignment w:val="baseline"/>
        <w:rPr>
          <w:rFonts w:ascii="Times New Roman" w:eastAsia="Times New Roman" w:hAnsi="Times New Roman" w:cs="Times New Roman"/>
          <w:b/>
          <w:bCs/>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Kā specifiskais vērtēšanas kritērijs ir noteikts objektu tehniskais stāvoklis, attiecīgi tiks vērtēta detalizētāka informācija par atlasīto objektu tehnisko stāvokli, potenciālo būvniecībā izmantojamo tehnoloģiju un citām veicamajām darbībām, lai nodrošinātu tālāko objekta būvniecības procesu, tai skaitā:</w:t>
      </w:r>
    </w:p>
    <w:p w14:paraId="3F17AF96" w14:textId="77777777" w:rsidR="00843EFF" w:rsidRPr="00843EFF" w:rsidRDefault="00843EFF" w:rsidP="00843EFF">
      <w:pPr>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lastRenderedPageBreak/>
        <w:t xml:space="preserve">prioritāte būtu piešķirama objektiem, kuru pielāgošanai/atjaunošanai nepieciešamie finansiālie resursi ir samērojami ar sagaidāmo rezultātu, tai skaitā, vērtējot objekta atrašanās vietu, pieejamību u.c. būtiskus apstākļus; </w:t>
      </w:r>
    </w:p>
    <w:p w14:paraId="0AB7E529" w14:textId="77777777" w:rsidR="00843EFF" w:rsidRPr="00843EFF" w:rsidRDefault="00843EFF" w:rsidP="00843EFF">
      <w:pPr>
        <w:numPr>
          <w:ilvl w:val="0"/>
          <w:numId w:val="7"/>
        </w:num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potenciāli būvniecībā izmantotie arhitektūras un būvkonstrukciju risinājumi, ēku energoefektivitāte;</w:t>
      </w:r>
    </w:p>
    <w:p w14:paraId="4BDF1D4D" w14:textId="77777777" w:rsidR="00843EFF" w:rsidRPr="00843EFF" w:rsidRDefault="00843EFF" w:rsidP="00843EFF">
      <w:pPr>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 xml:space="preserve">vai plānotie pakalpojumu infrastruktūras atjaunošanas/izbūves darbi sekmē klimata pārmaiņu pielāgošanās pasākumu īstenošanu, t.i. infrastruktūrai un apbūvei ir jābūt </w:t>
      </w:r>
      <w:proofErr w:type="spellStart"/>
      <w:r w:rsidRPr="00843EFF">
        <w:rPr>
          <w:rFonts w:ascii="Times New Roman" w:eastAsia="Times New Roman" w:hAnsi="Times New Roman" w:cs="Times New Roman"/>
          <w:kern w:val="0"/>
          <w:sz w:val="24"/>
          <w:szCs w:val="24"/>
          <w:lang w:eastAsia="lv-LV"/>
          <w14:ligatures w14:val="none"/>
        </w:rPr>
        <w:t>klimatnoturīgai</w:t>
      </w:r>
      <w:proofErr w:type="spellEnd"/>
      <w:r w:rsidRPr="00843EFF">
        <w:rPr>
          <w:rFonts w:ascii="Times New Roman" w:eastAsia="Times New Roman" w:hAnsi="Times New Roman" w:cs="Times New Roman"/>
          <w:kern w:val="0"/>
          <w:sz w:val="24"/>
          <w:szCs w:val="24"/>
          <w:lang w:eastAsia="lv-LV"/>
          <w14:ligatures w14:val="none"/>
        </w:rPr>
        <w:t xml:space="preserve"> (tā jāplāno atbilstoši iespējamajiem klimata riskiem);</w:t>
      </w:r>
    </w:p>
    <w:p w14:paraId="4973F0C8" w14:textId="77777777" w:rsidR="00843EFF" w:rsidRPr="00843EFF" w:rsidRDefault="00843EFF" w:rsidP="00843EFF">
      <w:pPr>
        <w:numPr>
          <w:ilvl w:val="0"/>
          <w:numId w:val="7"/>
        </w:numPr>
        <w:spacing w:before="120" w:after="120" w:line="240" w:lineRule="auto"/>
        <w:jc w:val="both"/>
        <w:textAlignment w:val="baseline"/>
        <w:rPr>
          <w:rFonts w:ascii="Times New Roman" w:eastAsia="Times New Roman" w:hAnsi="Times New Roman" w:cs="Times New Roman"/>
          <w:kern w:val="0"/>
          <w:sz w:val="24"/>
          <w:szCs w:val="24"/>
          <w:lang w:eastAsia="lv-LV"/>
          <w14:ligatures w14:val="none"/>
        </w:rPr>
      </w:pPr>
      <w:r w:rsidRPr="00843EFF">
        <w:rPr>
          <w:rFonts w:ascii="Times New Roman" w:eastAsia="Times New Roman" w:hAnsi="Times New Roman" w:cs="Times New Roman"/>
          <w:kern w:val="0"/>
          <w:sz w:val="24"/>
          <w:szCs w:val="24"/>
          <w:lang w:eastAsia="lv-LV"/>
          <w14:ligatures w14:val="none"/>
        </w:rPr>
        <w:t>būvniecības dokumentācijas gatavības stadija un nepieciešamās tālākās darbības tās precizēšanai vai sagatavošanai, prioritāti piešķirot augstas gatavības projektiem.</w:t>
      </w:r>
    </w:p>
    <w:p w14:paraId="7FE91260" w14:textId="77777777" w:rsidR="00843EFF" w:rsidRPr="00843EFF" w:rsidRDefault="00843EFF" w:rsidP="00843EFF">
      <w:pPr>
        <w:spacing w:before="120" w:after="120" w:line="240" w:lineRule="auto"/>
        <w:rPr>
          <w:rFonts w:ascii="Times New Roman" w:eastAsia="Times New Roman" w:hAnsi="Times New Roman" w:cs="Times New Roman"/>
          <w:sz w:val="24"/>
          <w:szCs w:val="24"/>
          <w:lang w:eastAsia="lv-LV"/>
          <w14:ligatures w14:val="none"/>
        </w:rPr>
      </w:pPr>
    </w:p>
    <w:p w14:paraId="2B72F865" w14:textId="77777777" w:rsidR="00843EFF" w:rsidRPr="00843EFF" w:rsidRDefault="00843EFF" w:rsidP="00843EFF">
      <w:pPr>
        <w:spacing w:before="120" w:after="120" w:line="240" w:lineRule="auto"/>
        <w:jc w:val="both"/>
        <w:textAlignment w:val="baseline"/>
        <w:rPr>
          <w:rFonts w:ascii="Times New Roman" w:eastAsia="Calibri" w:hAnsi="Times New Roman" w:cs="Times New Roman"/>
          <w:sz w:val="24"/>
          <w:szCs w:val="24"/>
        </w:rPr>
      </w:pPr>
      <w:r w:rsidRPr="00843EFF">
        <w:rPr>
          <w:rFonts w:ascii="Times New Roman" w:eastAsia="Times New Roman" w:hAnsi="Times New Roman" w:cs="Times New Roman"/>
          <w:b/>
          <w:bCs/>
          <w:kern w:val="0"/>
          <w:sz w:val="24"/>
          <w:szCs w:val="24"/>
          <w:lang w:eastAsia="lv-LV"/>
          <w14:ligatures w14:val="none"/>
        </w:rPr>
        <w:t>2.2. Civilais pielietojums</w:t>
      </w:r>
    </w:p>
    <w:p w14:paraId="74AFF68E" w14:textId="77777777" w:rsidR="00843EFF" w:rsidRPr="00843EFF" w:rsidRDefault="00843EFF" w:rsidP="00843EFF">
      <w:pPr>
        <w:spacing w:before="120" w:after="120" w:line="240" w:lineRule="auto"/>
        <w:jc w:val="both"/>
        <w:rPr>
          <w:rFonts w:ascii="Times New Roman" w:eastAsia="Times New Roman" w:hAnsi="Times New Roman" w:cs="Times New Roman"/>
          <w:sz w:val="24"/>
          <w:szCs w:val="24"/>
          <w:lang w:eastAsia="lv-LV"/>
          <w14:ligatures w14:val="none"/>
        </w:rPr>
      </w:pPr>
      <w:r w:rsidRPr="00843EFF">
        <w:rPr>
          <w:rFonts w:ascii="Times New Roman" w:eastAsia="Times New Roman" w:hAnsi="Times New Roman" w:cs="Times New Roman"/>
          <w:b/>
          <w:bCs/>
          <w:sz w:val="24"/>
          <w:szCs w:val="24"/>
          <w:lang w:eastAsia="lv-LV"/>
          <w14:ligatures w14:val="none"/>
        </w:rPr>
        <w:t>Otrajā</w:t>
      </w:r>
      <w:r w:rsidRPr="00843EFF">
        <w:rPr>
          <w:rFonts w:ascii="Times New Roman" w:eastAsia="Times New Roman" w:hAnsi="Times New Roman" w:cs="Times New Roman"/>
          <w:sz w:val="24"/>
          <w:szCs w:val="24"/>
          <w:lang w:eastAsia="lv-LV"/>
          <w14:ligatures w14:val="none"/>
        </w:rPr>
        <w:t xml:space="preserve"> vērtēšanas </w:t>
      </w:r>
      <w:r w:rsidRPr="00843EFF">
        <w:rPr>
          <w:rFonts w:ascii="Times New Roman" w:eastAsia="Times New Roman" w:hAnsi="Times New Roman" w:cs="Times New Roman"/>
          <w:b/>
          <w:bCs/>
          <w:sz w:val="24"/>
          <w:szCs w:val="24"/>
          <w:lang w:eastAsia="lv-LV"/>
          <w14:ligatures w14:val="none"/>
        </w:rPr>
        <w:t>kārtā</w:t>
      </w:r>
      <w:r w:rsidRPr="00843EFF">
        <w:rPr>
          <w:rFonts w:ascii="Times New Roman" w:eastAsia="Times New Roman" w:hAnsi="Times New Roman" w:cs="Times New Roman"/>
          <w:sz w:val="24"/>
          <w:szCs w:val="24"/>
          <w:lang w:eastAsia="lv-LV"/>
          <w14:ligatures w14:val="none"/>
        </w:rPr>
        <w:t xml:space="preserve"> ir noteikts, ka, lai pašvaldību identificētās vajadzības par jauna pakalpojumu infrastruktūras objekta izveidi vai esoša objekta pārbūvi/atjaunošanu tiktu virzītas tālākai izskatīšanai, objekti tiek skatīti šādā prioritārā secībā:</w:t>
      </w:r>
    </w:p>
    <w:p w14:paraId="1D92AAD0" w14:textId="77777777" w:rsidR="00843EFF" w:rsidRPr="00843EFF" w:rsidRDefault="00843EFF" w:rsidP="00843EFF">
      <w:pPr>
        <w:spacing w:before="120" w:after="120" w:line="240" w:lineRule="auto"/>
        <w:jc w:val="both"/>
        <w:rPr>
          <w:rFonts w:ascii="Times New Roman" w:eastAsia="Times New Roman" w:hAnsi="Times New Roman" w:cs="Times New Roman"/>
          <w:sz w:val="24"/>
          <w:szCs w:val="24"/>
          <w:lang w:eastAsia="lv-LV"/>
          <w14:ligatures w14:val="none"/>
        </w:rPr>
      </w:pPr>
    </w:p>
    <w:p w14:paraId="1EAF9F8B" w14:textId="77777777" w:rsidR="00843EFF" w:rsidRPr="00843EFF" w:rsidRDefault="00843EFF" w:rsidP="00843EFF">
      <w:pPr>
        <w:numPr>
          <w:ilvl w:val="0"/>
          <w:numId w:val="6"/>
        </w:numPr>
        <w:spacing w:before="120" w:after="120" w:line="240" w:lineRule="auto"/>
        <w:jc w:val="both"/>
        <w:rPr>
          <w:rFonts w:ascii="Times New Roman" w:eastAsia="Calibri" w:hAnsi="Times New Roman" w:cs="Times New Roman"/>
          <w:b/>
          <w:kern w:val="0"/>
          <w:sz w:val="24"/>
          <w:szCs w:val="24"/>
        </w:rPr>
      </w:pPr>
      <w:r w:rsidRPr="00843EFF">
        <w:rPr>
          <w:rFonts w:ascii="Times New Roman" w:eastAsia="Calibri" w:hAnsi="Times New Roman" w:cs="Times New Roman"/>
          <w:b/>
          <w:kern w:val="0"/>
          <w:sz w:val="24"/>
          <w:szCs w:val="24"/>
        </w:rPr>
        <w:t xml:space="preserve">Veselības aprūpes pakalpojumu jomā </w:t>
      </w:r>
    </w:p>
    <w:p w14:paraId="528850E4"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Pašvaldību loma veselības veicināšanas politikas īstenošanā galvenokārt ir saskatāma caur pašvaldības spējām veidot veselību atbalstošu vidi un uzrunāt vietējo sabiedrību, tādējādi veicinot iedzīvotāju līdzdalību veselības veicināšanas pasākumos un iniciatīvas pieaugumu.</w:t>
      </w:r>
    </w:p>
    <w:p w14:paraId="529419E9"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Vienlaikus pašvaldībām ir būtiska loma pamata veselības aprūpes pakalpojumu groza nodrošināšanā, kas ietver</w:t>
      </w:r>
      <w:r w:rsidRPr="00843EFF">
        <w:rPr>
          <w:rFonts w:ascii="Times New Roman" w:eastAsia="Calibri" w:hAnsi="Times New Roman" w:cs="Times New Roman"/>
          <w:sz w:val="24"/>
          <w:szCs w:val="24"/>
          <w:vertAlign w:val="superscript"/>
        </w:rPr>
        <w:footnoteReference w:id="7"/>
      </w:r>
      <w:r w:rsidRPr="00843EFF">
        <w:rPr>
          <w:rFonts w:ascii="Times New Roman" w:eastAsia="Calibri" w:hAnsi="Times New Roman" w:cs="Times New Roman"/>
          <w:sz w:val="24"/>
          <w:szCs w:val="24"/>
        </w:rPr>
        <w:t>: neatliekamo medicīnisko palīdzību, dzemdību palīdzību, ģimenes ārsta sniegtos veselības aprūpes pakalpojumus, veselības aprūpes pakalpojumus tādu slimību ārstēšanā, kas var ietekmēt sabiedrības veselību un tās drošību, piemēram, bīstamas infekcijas slimības (tuberkuloze, difterija, hepatīts u.c.), psihiskās slimības.</w:t>
      </w:r>
    </w:p>
    <w:p w14:paraId="16B2ECBE"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Ņemot vērā medicīnas un veselības aprūpes jomas kritiski svarīgo nozīmi gan krīzes un militāra apdraudējuma situācijās, gan iedzīvotāju ikdienas dzīvē, veselības aprūpes pakalpojumu infrastruktūras objektu attīstīšana ir uzskatāma par prioritāru.</w:t>
      </w:r>
    </w:p>
    <w:p w14:paraId="6930FA7B"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p>
    <w:p w14:paraId="17062923" w14:textId="77777777" w:rsidR="00843EFF" w:rsidRPr="00843EFF" w:rsidRDefault="00843EFF" w:rsidP="00843EFF">
      <w:pPr>
        <w:numPr>
          <w:ilvl w:val="0"/>
          <w:numId w:val="6"/>
        </w:numPr>
        <w:spacing w:before="120" w:after="120" w:line="240" w:lineRule="auto"/>
        <w:jc w:val="both"/>
        <w:rPr>
          <w:rFonts w:ascii="Times New Roman" w:eastAsia="Calibri" w:hAnsi="Times New Roman" w:cs="Times New Roman"/>
          <w:b/>
          <w:bCs/>
          <w:kern w:val="0"/>
          <w:sz w:val="24"/>
          <w:szCs w:val="24"/>
        </w:rPr>
      </w:pPr>
      <w:r w:rsidRPr="00843EFF">
        <w:rPr>
          <w:rFonts w:ascii="Times New Roman" w:eastAsia="Calibri" w:hAnsi="Times New Roman" w:cs="Times New Roman"/>
          <w:b/>
          <w:bCs/>
          <w:kern w:val="0"/>
          <w:sz w:val="24"/>
          <w:szCs w:val="24"/>
        </w:rPr>
        <w:t>Izglītības pakalpojumu jomā:</w:t>
      </w:r>
    </w:p>
    <w:p w14:paraId="6264DF22" w14:textId="55AC4FA8" w:rsidR="00843EFF" w:rsidRPr="00843EFF" w:rsidRDefault="00843EFF" w:rsidP="00843EFF">
      <w:pPr>
        <w:spacing w:before="120" w:after="120" w:line="240" w:lineRule="auto"/>
        <w:jc w:val="both"/>
        <w:rPr>
          <w:rFonts w:ascii="Times New Roman" w:eastAsia="Calibri" w:hAnsi="Times New Roman" w:cs="Times New Roman"/>
          <w:sz w:val="24"/>
          <w:szCs w:val="24"/>
        </w:rPr>
      </w:pPr>
      <w:r w:rsidRPr="3E98CE23">
        <w:rPr>
          <w:rFonts w:ascii="Times New Roman" w:eastAsia="Calibri" w:hAnsi="Times New Roman" w:cs="Times New Roman"/>
          <w:sz w:val="24"/>
          <w:szCs w:val="24"/>
        </w:rPr>
        <w:t xml:space="preserve">Izglītības un zinātnes ministrijas izstrādātajā informatīvajā ziņojumā “Kompleksi risinājumi augstvērtīgai izglītības nodrošināšanai vispārējā pamata un vidējā izglītībā: ilgtspējīga izglītības iestāžu ekosistēma un efektīvs finansēšanas modelis” (pieņemts 21.11.2023., </w:t>
      </w:r>
      <w:r w:rsidR="004D10B3">
        <w:rPr>
          <w:rFonts w:ascii="Times New Roman" w:eastAsia="Calibri" w:hAnsi="Times New Roman" w:cs="Times New Roman"/>
          <w:sz w:val="24"/>
          <w:szCs w:val="24"/>
        </w:rPr>
        <w:t>Tiesību aktu p</w:t>
      </w:r>
      <w:r w:rsidR="000C0DD4">
        <w:rPr>
          <w:rFonts w:ascii="Times New Roman" w:eastAsia="Calibri" w:hAnsi="Times New Roman" w:cs="Times New Roman"/>
          <w:sz w:val="24"/>
          <w:szCs w:val="24"/>
        </w:rPr>
        <w:t>rojekt</w:t>
      </w:r>
      <w:r w:rsidR="009405DF">
        <w:rPr>
          <w:rFonts w:ascii="Times New Roman" w:eastAsia="Calibri" w:hAnsi="Times New Roman" w:cs="Times New Roman"/>
          <w:sz w:val="24"/>
          <w:szCs w:val="24"/>
        </w:rPr>
        <w:t xml:space="preserve">a (turpmāk – </w:t>
      </w:r>
      <w:r w:rsidRPr="3E98CE23">
        <w:rPr>
          <w:rFonts w:ascii="Times New Roman" w:eastAsia="Calibri" w:hAnsi="Times New Roman" w:cs="Times New Roman"/>
          <w:sz w:val="24"/>
          <w:szCs w:val="24"/>
        </w:rPr>
        <w:t>TAP</w:t>
      </w:r>
      <w:r w:rsidR="009405DF">
        <w:rPr>
          <w:rFonts w:ascii="Times New Roman" w:eastAsia="Calibri" w:hAnsi="Times New Roman" w:cs="Times New Roman"/>
          <w:sz w:val="24"/>
          <w:szCs w:val="24"/>
        </w:rPr>
        <w:t>)</w:t>
      </w:r>
      <w:r w:rsidRPr="3E98CE23">
        <w:rPr>
          <w:rFonts w:ascii="Times New Roman" w:eastAsia="Calibri" w:hAnsi="Times New Roman" w:cs="Times New Roman"/>
          <w:sz w:val="24"/>
          <w:szCs w:val="24"/>
        </w:rPr>
        <w:t xml:space="preserve"> lietas ID 23-TA-1911) noteikts pašvaldībām, sadarbojoties ar Izglītības un zinātnes ministriju, VARAM, Satiksmes ministriju, Finanšu ministriju un, ņemot vērā Labklājības un Veselības ministrijas viedokli, izveidot efektīvu vispārējās pamata un vidējās izglītības iestāžu tīkla karti pašvaldībā, ņemot vērā šeit noteiktos kritērijus un principus, koordinējot skolēnu un skolotāju mobilitātes iespējas, t.sk., izvērtējot nepieciešamās investīcijas transporta līdzekļu iegādei skolēnu pārvadājumiem. Attiecīgi, izvērtējot izglītības iestāžu infrastruktūras objektu turpmāko attīstību, būtu jābalstās uz kritērijiem, kas noteikti iepriekš minētajā informatīvajā ziņojumā.</w:t>
      </w:r>
      <w:r w:rsidRPr="3E98CE23">
        <w:rPr>
          <w:rFonts w:ascii="Calibri" w:eastAsia="Calibri" w:hAnsi="Calibri" w:cs="Arial"/>
        </w:rPr>
        <w:t xml:space="preserve"> </w:t>
      </w:r>
      <w:r w:rsidRPr="3E98CE23">
        <w:rPr>
          <w:rFonts w:ascii="Times New Roman" w:eastAsia="Calibri" w:hAnsi="Times New Roman" w:cs="Times New Roman"/>
          <w:sz w:val="24"/>
          <w:szCs w:val="24"/>
        </w:rPr>
        <w:t xml:space="preserve">Papildus norādām, ka pakalpojumu infrastruktūras objektu priekšlikumu izvērtēšanas kritēriju ietvaros izglītības jomā var aptvert ne tikai pašvaldību dibinātās izglītības iestādes, bet arī izglītības iestādes, kuras īsteno vidējās profesionālās vai īsā cikla augstākās izglītības programmas, ievērojot šo iestāžu </w:t>
      </w:r>
      <w:r w:rsidRPr="3E98CE23">
        <w:rPr>
          <w:rFonts w:ascii="Times New Roman" w:eastAsia="Calibri" w:hAnsi="Times New Roman" w:cs="Times New Roman"/>
          <w:sz w:val="24"/>
          <w:szCs w:val="24"/>
        </w:rPr>
        <w:lastRenderedPageBreak/>
        <w:t>potenciālu divejādas lietojamības funkciju veikšanai militārā atbalsta nodrošināšanai vai civilai aizsardzībai.</w:t>
      </w:r>
    </w:p>
    <w:p w14:paraId="359787C2"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p>
    <w:p w14:paraId="113FED0E" w14:textId="77777777" w:rsidR="00843EFF" w:rsidRPr="00843EFF" w:rsidRDefault="00843EFF" w:rsidP="00843EFF">
      <w:pPr>
        <w:numPr>
          <w:ilvl w:val="0"/>
          <w:numId w:val="6"/>
        </w:numPr>
        <w:spacing w:before="120" w:after="120" w:line="240" w:lineRule="auto"/>
        <w:jc w:val="both"/>
        <w:rPr>
          <w:rFonts w:ascii="Times New Roman" w:eastAsia="Calibri" w:hAnsi="Times New Roman" w:cs="Times New Roman"/>
          <w:b/>
          <w:kern w:val="0"/>
          <w:sz w:val="24"/>
          <w:szCs w:val="24"/>
        </w:rPr>
      </w:pPr>
      <w:r w:rsidRPr="00843EFF">
        <w:rPr>
          <w:rFonts w:ascii="Times New Roman" w:eastAsia="Calibri" w:hAnsi="Times New Roman" w:cs="Times New Roman"/>
          <w:b/>
          <w:kern w:val="0"/>
          <w:sz w:val="24"/>
          <w:szCs w:val="24"/>
        </w:rPr>
        <w:t>Sociālo pakalpojumu jomā:</w:t>
      </w:r>
    </w:p>
    <w:p w14:paraId="5C75E1D0" w14:textId="4E78C329"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Pašvaldībām ir būtiska loma sociālo pakalpojumu pārklājuma vienmērīgas attīstības veicināšanā un to vienādas pieejamības nodrošināšanā iedzīvotājiem neatkarīgi no dzīvesvietas. Lai to īstenotu, ar grozījumiem Sociālo pakalpojumu un sociālās palīdzības likumā (TAP lietas Nr. 22-TA-1080) ir paredzēts noteikt obligāti nodrošināmos sociālos pakalpojumus, kas var būt ar vai bez izmitināšanas: aprūpes mājas pakalpojumu; krīzes centra pakalpojumu; grupu mājas (dzīvokļa) pakalpojumu; ilgstošas sociālās aprūpes un sociālās rehabilitācijas pakalpojumu institūcijā; patversmes vai naktspatversmes pakalpojumu; dienas aprūpes centra pakalpojumu; atelpas brīža pakalpojumu; specializētās darbnīcas pakalpojumu; ģimenes asistenta pakalpojumu; sociālās rehabilitācijas pakalpojumu.</w:t>
      </w:r>
    </w:p>
    <w:p w14:paraId="3164DD74"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Vienlaikus jānorāda, ka pašvaldība šos sociālos pakalpojumus var īstenot pati, vai slēgt līgumus ar citiem sociālo pakalpojumu sniedzējiem, piemēram, blakus esošajā pašvaldībā.</w:t>
      </w:r>
    </w:p>
    <w:p w14:paraId="05906C68"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Šeit ietvertie kritēriji un objektu divējādas lietojamības principi ir attiecināmi uz pašvaldību izveidoto sociālo pakalpojumu infrastruktūru, attiecīgi šos objektus var izmantot gan sociālo pakalpojumu sniegšanai, gan iedzīvotāju izmitināšanai vai atbalsta sniegšanai</w:t>
      </w:r>
      <w:r w:rsidRPr="00843EFF">
        <w:rPr>
          <w:rFonts w:ascii="Times New Roman" w:eastAsia="Calibri" w:hAnsi="Times New Roman" w:cs="Times New Roman"/>
          <w:sz w:val="24"/>
          <w:szCs w:val="24"/>
          <w:vertAlign w:val="superscript"/>
        </w:rPr>
        <w:footnoteReference w:id="8"/>
      </w:r>
      <w:r w:rsidRPr="00843EFF">
        <w:rPr>
          <w:rFonts w:ascii="Times New Roman" w:eastAsia="Calibri" w:hAnsi="Times New Roman" w:cs="Times New Roman"/>
          <w:sz w:val="24"/>
          <w:szCs w:val="24"/>
        </w:rPr>
        <w:t>.</w:t>
      </w:r>
    </w:p>
    <w:p w14:paraId="109B8D47"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p>
    <w:p w14:paraId="3A8798D0" w14:textId="77777777" w:rsidR="00843EFF" w:rsidRPr="00843EFF" w:rsidRDefault="00843EFF" w:rsidP="00843EFF">
      <w:pPr>
        <w:numPr>
          <w:ilvl w:val="0"/>
          <w:numId w:val="6"/>
        </w:numPr>
        <w:spacing w:before="120" w:after="120" w:line="240" w:lineRule="auto"/>
        <w:jc w:val="both"/>
        <w:rPr>
          <w:rFonts w:ascii="Times New Roman" w:eastAsia="Calibri" w:hAnsi="Times New Roman" w:cs="Times New Roman"/>
          <w:b/>
          <w:kern w:val="0"/>
          <w:sz w:val="24"/>
          <w:szCs w:val="24"/>
        </w:rPr>
      </w:pPr>
      <w:r w:rsidRPr="00843EFF">
        <w:rPr>
          <w:rFonts w:ascii="Times New Roman" w:eastAsia="Calibri" w:hAnsi="Times New Roman" w:cs="Times New Roman"/>
          <w:b/>
          <w:kern w:val="0"/>
          <w:sz w:val="24"/>
          <w:szCs w:val="24"/>
        </w:rPr>
        <w:t>Kultūras pakalpojumu jomā:</w:t>
      </w:r>
    </w:p>
    <w:p w14:paraId="7EFE29FE"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Sniegt iedzīvotājiem daudzveidīgu kultūras piedāvājumu un iespēju piedalīties kultūras dzīvē, sekmēt pašvaldības teritorijā esošā kultūras mantojuma saglabāšanu un sniegt atbalstu kultūras norisēm ir viena no pašvaldību autonomajām funkcijām, kas noteiktas Pašvaldību likumā</w:t>
      </w:r>
      <w:r w:rsidRPr="00843EFF">
        <w:rPr>
          <w:rFonts w:ascii="Times New Roman" w:eastAsia="Calibri" w:hAnsi="Times New Roman" w:cs="Times New Roman"/>
          <w:sz w:val="24"/>
          <w:szCs w:val="24"/>
          <w:vertAlign w:val="superscript"/>
        </w:rPr>
        <w:footnoteReference w:id="9"/>
      </w:r>
      <w:r w:rsidRPr="00843EFF">
        <w:rPr>
          <w:rFonts w:ascii="Times New Roman" w:eastAsia="Calibri" w:hAnsi="Times New Roman" w:cs="Times New Roman"/>
          <w:sz w:val="24"/>
          <w:szCs w:val="24"/>
        </w:rPr>
        <w:t xml:space="preserve">. </w:t>
      </w:r>
    </w:p>
    <w:p w14:paraId="779DEB95" w14:textId="73F73F2A"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Divējādas lietojamības principi var tikt attiecināti uz pašvaldību publiskās kultūras infrastruktūras, piemēram, bibliotēku un kultūras centru attīstības projektiem. Vienlaikus jāuzsver, ka kultūras pieminekļu ēkās, saskaņā ar starptautiskiem principiem par kultūras vērtību aizsardzību, divējāda lietojamība pieļaujama tikai gadījumos, ja tā neapdraud vai nesamazina to kultūrvēsturisko vērtību (atbilstoši UNESCO Konvencijā “Par kultūras vērtību aizsardzību bruņota konflikta gadījumā” noteiktajam par kultūras vērtībām, kas aizsargājamas militāra konflikta gadījumā, uzskatāms kustams vai nekustams īpašums, kam ir svarīga visu tautu kultūras mantojuma nozīme, piemēram, ar reliģiju saistīti vai nesaistīti arhitektūras, mākslas vai vēstures pieminekļi, arheoloģiskie izrakumi, ēku ansambļi ar vēsturisku vai māksliniecisku vērtību, mākslas darbi, manuskripti, grāmatas un citi priekšmeti ar māksliniecisku, vēsturisku vai arheoloģisku vērtību, zinātniskas kolekcijas un svarīgas grāmatu vai arhīvu kolekcijas, vai augstākminēto vērtību reprodukciju kolekcijas; ēkas, kuru galvenais un faktiskais mērķis ir aizsargāt vai eksponēt kultūras vērtības, piemēram, muzeji, lielas bibliotēkas un arhīvu depozitāriji, kā arī novietnes, kas bruņota konflikta gadījumā paredzētas kultūras vērtību saglabāšanai; centri, kuros atrodas liels kultūras vērtību daudzums). Atsaucoties uz Ministru kabineta 2022. gada 1.</w:t>
      </w:r>
      <w:r w:rsidR="00D25E6E">
        <w:rPr>
          <w:rFonts w:ascii="Times New Roman" w:eastAsia="Calibri" w:hAnsi="Times New Roman" w:cs="Times New Roman"/>
          <w:sz w:val="24"/>
          <w:szCs w:val="24"/>
        </w:rPr>
        <w:t xml:space="preserve"> </w:t>
      </w:r>
      <w:r w:rsidRPr="00843EFF">
        <w:rPr>
          <w:rFonts w:ascii="Times New Roman" w:eastAsia="Calibri" w:hAnsi="Times New Roman" w:cs="Times New Roman"/>
          <w:sz w:val="24"/>
          <w:szCs w:val="24"/>
        </w:rPr>
        <w:t>marta rīkojumu Nr. 143 (prot. Nr. 12 26. §) “Par Kultūrpolitikas pamatnostādnēm 2022.–2027. gadam "</w:t>
      </w:r>
      <w:proofErr w:type="spellStart"/>
      <w:r w:rsidRPr="00843EFF">
        <w:rPr>
          <w:rFonts w:ascii="Times New Roman" w:eastAsia="Calibri" w:hAnsi="Times New Roman" w:cs="Times New Roman"/>
          <w:sz w:val="24"/>
          <w:szCs w:val="24"/>
        </w:rPr>
        <w:t>Kultūrvalsts</w:t>
      </w:r>
      <w:proofErr w:type="spellEnd"/>
      <w:r w:rsidRPr="00843EFF">
        <w:rPr>
          <w:rFonts w:ascii="Times New Roman" w:eastAsia="Calibri" w:hAnsi="Times New Roman" w:cs="Times New Roman"/>
          <w:sz w:val="24"/>
          <w:szCs w:val="24"/>
        </w:rPr>
        <w:t>" (turpmāk – Pamatnostādnes) un Pamatnostādņu 7.nodaļā pausto, kultūras pieejamības un līdzdalības iespēju kultūrā pieejamības saglabāšanai jāturpina iepriekšējā perioda kultūrpolitikas pamatnostādnēs</w:t>
      </w:r>
      <w:r w:rsidRPr="00843EFF">
        <w:rPr>
          <w:rFonts w:ascii="Times New Roman" w:eastAsia="Calibri" w:hAnsi="Times New Roman" w:cs="Times New Roman"/>
          <w:sz w:val="24"/>
          <w:szCs w:val="24"/>
          <w:vertAlign w:val="superscript"/>
        </w:rPr>
        <w:footnoteReference w:id="10"/>
      </w:r>
      <w:r w:rsidRPr="00843EFF">
        <w:rPr>
          <w:rFonts w:ascii="Times New Roman" w:eastAsia="Calibri" w:hAnsi="Times New Roman" w:cs="Times New Roman"/>
          <w:sz w:val="24"/>
          <w:szCs w:val="24"/>
        </w:rPr>
        <w:t xml:space="preserve"> iezīmētais minimālā </w:t>
      </w:r>
      <w:r w:rsidRPr="00843EFF">
        <w:rPr>
          <w:rFonts w:ascii="Times New Roman" w:eastAsia="Calibri" w:hAnsi="Times New Roman" w:cs="Times New Roman"/>
          <w:sz w:val="24"/>
          <w:szCs w:val="24"/>
        </w:rPr>
        <w:lastRenderedPageBreak/>
        <w:t>kultūras pakalpojumu groza princips, kas paredz noteikta kultūras pakalpojumu klāsta piedāvājumu pašvaldībā atkarībā no administratīvās teritorijas lieluma</w:t>
      </w:r>
      <w:r w:rsidRPr="00843EFF">
        <w:rPr>
          <w:rFonts w:ascii="Times New Roman" w:eastAsia="Calibri" w:hAnsi="Times New Roman" w:cs="Times New Roman"/>
          <w:sz w:val="24"/>
          <w:szCs w:val="24"/>
          <w:vertAlign w:val="superscript"/>
        </w:rPr>
        <w:footnoteReference w:id="11"/>
      </w:r>
      <w:r w:rsidRPr="00843EFF">
        <w:rPr>
          <w:rFonts w:ascii="Times New Roman" w:eastAsia="Calibri" w:hAnsi="Times New Roman" w:cs="Times New Roman"/>
          <w:sz w:val="24"/>
          <w:szCs w:val="24"/>
        </w:rPr>
        <w:t xml:space="preserve">. </w:t>
      </w:r>
    </w:p>
    <w:p w14:paraId="0063AC24" w14:textId="77777777" w:rsidR="00843EFF" w:rsidRPr="00843EFF" w:rsidRDefault="00843EFF" w:rsidP="00843EFF">
      <w:pPr>
        <w:spacing w:before="120" w:after="120" w:line="240" w:lineRule="auto"/>
        <w:jc w:val="both"/>
        <w:rPr>
          <w:rFonts w:ascii="Times New Roman" w:eastAsia="Calibri" w:hAnsi="Times New Roman" w:cs="Times New Roman"/>
          <w:sz w:val="24"/>
          <w:szCs w:val="24"/>
        </w:rPr>
      </w:pPr>
      <w:r w:rsidRPr="00843EFF">
        <w:rPr>
          <w:rFonts w:ascii="Times New Roman" w:eastAsia="Calibri" w:hAnsi="Times New Roman" w:cs="Times New Roman"/>
          <w:sz w:val="24"/>
          <w:szCs w:val="24"/>
        </w:rPr>
        <w:t xml:space="preserve">Šajā izvērtēšanas kārtā, nodrošinot </w:t>
      </w:r>
      <w:proofErr w:type="spellStart"/>
      <w:r w:rsidRPr="00843EFF">
        <w:rPr>
          <w:rFonts w:ascii="Times New Roman" w:eastAsia="Calibri" w:hAnsi="Times New Roman" w:cs="Times New Roman"/>
          <w:sz w:val="24"/>
          <w:szCs w:val="24"/>
        </w:rPr>
        <w:t>ranžēšanu</w:t>
      </w:r>
      <w:proofErr w:type="spellEnd"/>
      <w:r w:rsidRPr="00843EFF">
        <w:rPr>
          <w:rFonts w:ascii="Times New Roman" w:eastAsia="Calibri" w:hAnsi="Times New Roman" w:cs="Times New Roman"/>
          <w:sz w:val="24"/>
          <w:szCs w:val="24"/>
        </w:rPr>
        <w:t>, priekšlikumu vērtēšanu veiks plānošanas reģioni sadarbībā ar VARAM, Veselības, Izglītības un zinātnes, Labklājības un Kultūras ministrijām. Nepieciešamības gadījumā vērtēšanas procesā tiks piesaistītas arī citas institūcijas.</w:t>
      </w:r>
    </w:p>
    <w:p w14:paraId="077C23A2" w14:textId="5D346DD4" w:rsidR="00FF1AD9" w:rsidRDefault="00843EFF" w:rsidP="3E98CE23">
      <w:pPr>
        <w:spacing w:before="120" w:after="120" w:line="240" w:lineRule="auto"/>
        <w:jc w:val="both"/>
        <w:rPr>
          <w:rFonts w:ascii="Times New Roman" w:eastAsia="Calibri" w:hAnsi="Times New Roman" w:cs="Times New Roman"/>
          <w:b/>
          <w:bCs/>
          <w:sz w:val="24"/>
          <w:szCs w:val="24"/>
        </w:rPr>
      </w:pPr>
      <w:r w:rsidRPr="3E98CE23">
        <w:rPr>
          <w:rFonts w:ascii="Times New Roman" w:eastAsia="Calibri" w:hAnsi="Times New Roman" w:cs="Times New Roman"/>
          <w:sz w:val="24"/>
          <w:szCs w:val="24"/>
        </w:rPr>
        <w:t>Vienlaikus pēc nepieciešamības atbalsts var tikt sniegts arī cita veida civilās infrastruktūras attīstībai, kas ir paredzēta civilās aizsardzības vajadzībām</w:t>
      </w:r>
      <w:r w:rsidRPr="3E98CE23">
        <w:rPr>
          <w:rFonts w:ascii="Times New Roman" w:eastAsia="Calibri" w:hAnsi="Times New Roman" w:cs="Times New Roman"/>
          <w:b/>
          <w:bCs/>
          <w:sz w:val="24"/>
          <w:szCs w:val="24"/>
        </w:rPr>
        <w:t>.</w:t>
      </w:r>
    </w:p>
    <w:sectPr w:rsidR="00FF1AD9" w:rsidSect="006605F7">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728"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36BA5" w14:textId="77777777" w:rsidR="001F041F" w:rsidRDefault="001F041F" w:rsidP="00843EFF">
      <w:pPr>
        <w:spacing w:after="0" w:line="240" w:lineRule="auto"/>
      </w:pPr>
      <w:r>
        <w:separator/>
      </w:r>
    </w:p>
  </w:endnote>
  <w:endnote w:type="continuationSeparator" w:id="0">
    <w:p w14:paraId="3186E398" w14:textId="77777777" w:rsidR="001F041F" w:rsidRDefault="001F041F" w:rsidP="00843EFF">
      <w:pPr>
        <w:spacing w:after="0" w:line="240" w:lineRule="auto"/>
      </w:pPr>
      <w:r>
        <w:continuationSeparator/>
      </w:r>
    </w:p>
  </w:endnote>
  <w:endnote w:type="continuationNotice" w:id="1">
    <w:p w14:paraId="11D3DDC3" w14:textId="77777777" w:rsidR="001F041F" w:rsidRDefault="001F0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799B3" w14:textId="77777777" w:rsidR="006605F7" w:rsidRDefault="00660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9E08F" w14:textId="044F4C98" w:rsidR="00F431B9" w:rsidRPr="006605F7" w:rsidRDefault="006605F7">
    <w:pPr>
      <w:pStyle w:val="Footer"/>
      <w:rPr>
        <w:rFonts w:ascii="Times New Roman" w:hAnsi="Times New Roman" w:cs="Times New Roman"/>
        <w:sz w:val="20"/>
        <w:szCs w:val="20"/>
      </w:rPr>
    </w:pPr>
    <w:r w:rsidRPr="006605F7">
      <w:t>​</w:t>
    </w:r>
    <w:r w:rsidRPr="006605F7">
      <w:rPr>
        <w:rFonts w:ascii="Times New Roman" w:hAnsi="Times New Roman" w:cs="Times New Roman"/>
        <w:sz w:val="20"/>
        <w:szCs w:val="20"/>
      </w:rPr>
      <w:t>VARAMPl_p</w:t>
    </w:r>
    <w:r>
      <w:rPr>
        <w:rFonts w:ascii="Times New Roman" w:hAnsi="Times New Roman" w:cs="Times New Roman"/>
        <w:sz w:val="20"/>
        <w:szCs w:val="20"/>
      </w:rPr>
      <w:t>2</w:t>
    </w:r>
    <w:r w:rsidRPr="006605F7">
      <w:rPr>
        <w:rFonts w:ascii="Times New Roman" w:hAnsi="Times New Roman" w:cs="Times New Roman"/>
        <w:sz w:val="20"/>
        <w:szCs w:val="20"/>
      </w:rPr>
      <w:t>_A_pierobeža_051224</w:t>
    </w:r>
    <w:r w:rsidRPr="006605F7">
      <w:rPr>
        <w:rFonts w:ascii="Times New Roman" w:hAnsi="Times New Roman" w:cs="Times New Roman"/>
        <w:sz w:val="20"/>
        <w:szCs w:val="20"/>
      </w:rPr>
      <w:t xml:space="preserve">; </w:t>
    </w:r>
    <w:r w:rsidRPr="006605F7">
      <w:rPr>
        <w:rFonts w:ascii="Times New Roman" w:hAnsi="Times New Roman" w:cs="Times New Roman"/>
        <w:sz w:val="20"/>
        <w:szCs w:val="20"/>
      </w:rPr>
      <w:t>Kritēriji un kārtība, kādā tiks izvērtēti pašvaldību sākotnēji iesniegtie priekšlikumi mobilitātes un pakalpojumu infrastruktūras jomās divējādas lietojamības kontekstā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45E43" w14:textId="77777777" w:rsidR="006605F7" w:rsidRDefault="00660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6AC5C" w14:textId="77777777" w:rsidR="001F041F" w:rsidRDefault="001F041F" w:rsidP="00843EFF">
      <w:pPr>
        <w:spacing w:after="0" w:line="240" w:lineRule="auto"/>
      </w:pPr>
      <w:r>
        <w:separator/>
      </w:r>
    </w:p>
  </w:footnote>
  <w:footnote w:type="continuationSeparator" w:id="0">
    <w:p w14:paraId="5862A6C5" w14:textId="77777777" w:rsidR="001F041F" w:rsidRDefault="001F041F" w:rsidP="00843EFF">
      <w:pPr>
        <w:spacing w:after="0" w:line="240" w:lineRule="auto"/>
      </w:pPr>
      <w:r>
        <w:continuationSeparator/>
      </w:r>
    </w:p>
  </w:footnote>
  <w:footnote w:type="continuationNotice" w:id="1">
    <w:p w14:paraId="5A1B63BE" w14:textId="77777777" w:rsidR="001F041F" w:rsidRDefault="001F041F">
      <w:pPr>
        <w:spacing w:after="0" w:line="240" w:lineRule="auto"/>
      </w:pPr>
    </w:p>
  </w:footnote>
  <w:footnote w:id="2">
    <w:p w14:paraId="5A8845FB" w14:textId="77777777" w:rsidR="00843EFF" w:rsidRPr="00AB793B" w:rsidRDefault="00843EFF" w:rsidP="00843EFF">
      <w:pPr>
        <w:pStyle w:val="FootnoteText"/>
        <w:jc w:val="both"/>
        <w:rPr>
          <w:rFonts w:ascii="Times New Roman" w:hAnsi="Times New Roman"/>
        </w:rPr>
      </w:pPr>
      <w:r w:rsidRPr="00AB793B">
        <w:rPr>
          <w:rStyle w:val="FootnoteReference"/>
          <w:rFonts w:ascii="Times New Roman" w:hAnsi="Times New Roman"/>
        </w:rPr>
        <w:footnoteRef/>
      </w:r>
      <w:r w:rsidRPr="00AB793B">
        <w:rPr>
          <w:rFonts w:ascii="Times New Roman" w:hAnsi="Times New Roman"/>
        </w:rPr>
        <w:t xml:space="preserve"> </w:t>
      </w:r>
      <w:r w:rsidRPr="00F12EB0">
        <w:rPr>
          <w:rFonts w:ascii="Times New Roman" w:hAnsi="Times New Roman"/>
        </w:rPr>
        <w:t>Būtiski norādīt, ka arī augstāk minētajā kartējumā iekļautie infrastruktūras objekti būs indikatīvi, tas ir, turpinājumā norādītie kritēriji nenodrošinās projektu pieteikumu atlases procesu, bet gan iezīmēs indikatīvos projektus, kas pamatos atsevišķas atbalsta programmas izveides nepieciešamību divējādas lietojamības infrastruktūras objektu attīstībai. Sekojoši konkrēti projektu iesniegumu atlases procesa nosacījumi būtu apstiprināmi ar atsevišķu ārējo normatīvo aktu saistībā ar paredzamo laika plānu projektu atlases uzsākšanai, kā arī saistībā ar nepieciešamo/pieejamo finansējumu un tā avotiem šādu investīciju īstenošanai – attiecīgi tie tiks noteikti Ministru kabineta noteikumos, kur līdztekus šeit noteiktajiem kritērijiem tiks noteikti papildus kritēriji.</w:t>
      </w:r>
    </w:p>
  </w:footnote>
  <w:footnote w:id="3">
    <w:p w14:paraId="38F18910" w14:textId="77777777" w:rsidR="00843EFF" w:rsidRPr="00AB793B" w:rsidRDefault="00843EFF" w:rsidP="00843EFF">
      <w:pPr>
        <w:pStyle w:val="FootnoteText"/>
        <w:jc w:val="both"/>
        <w:rPr>
          <w:rFonts w:ascii="Times New Roman" w:hAnsi="Times New Roman"/>
        </w:rPr>
      </w:pPr>
      <w:r w:rsidRPr="00AB793B">
        <w:rPr>
          <w:rStyle w:val="FootnoteReference"/>
          <w:rFonts w:ascii="Times New Roman" w:hAnsi="Times New Roman"/>
        </w:rPr>
        <w:footnoteRef/>
      </w:r>
      <w:r w:rsidRPr="00AB793B">
        <w:rPr>
          <w:rFonts w:ascii="Times New Roman" w:hAnsi="Times New Roman"/>
        </w:rPr>
        <w:t xml:space="preserve"> </w:t>
      </w:r>
      <w:r w:rsidRPr="00F12EB0">
        <w:rPr>
          <w:rFonts w:ascii="Times New Roman" w:hAnsi="Times New Roman"/>
        </w:rPr>
        <w:t>Krīzes situācijās varētu nebūt saistoši uz atsevišķiem ceļa posmiem noteiktie ierobežojumi, piemēram, transportlīdzekļu un to kravu 10 tonnu svara ierobežojums, kas nereti tiek noteikts pavasarī, kad nokrišņu ietekmē tiek bojāts ceļa seguma stāvoklis</w:t>
      </w:r>
    </w:p>
  </w:footnote>
  <w:footnote w:id="4">
    <w:p w14:paraId="25240208" w14:textId="487BD00A"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Vadlīnijas izstrādājusi </w:t>
      </w:r>
      <w:proofErr w:type="spellStart"/>
      <w:r w:rsidRPr="00F12EB0">
        <w:rPr>
          <w:rFonts w:ascii="Times New Roman" w:hAnsi="Times New Roman"/>
        </w:rPr>
        <w:t>Iekšlietu</w:t>
      </w:r>
      <w:proofErr w:type="spellEnd"/>
      <w:r w:rsidRPr="00F12EB0">
        <w:rPr>
          <w:rFonts w:ascii="Times New Roman" w:hAnsi="Times New Roman"/>
        </w:rPr>
        <w:t xml:space="preserve"> ministrija sadarbībā ar Ekonomikas ministriju, Būvniecības valsts kontroles biroju, Rīgas Tehnisko universitāti, Veselības ministriju, VARAM, Izglītības un zinātnes ministriju un Labklājības ministriju atbilstoši Ministru kabineta 2024. gada 9.</w:t>
      </w:r>
      <w:r w:rsidR="0012686C">
        <w:rPr>
          <w:rFonts w:ascii="Times New Roman" w:hAnsi="Times New Roman"/>
        </w:rPr>
        <w:t xml:space="preserve"> </w:t>
      </w:r>
      <w:r w:rsidRPr="00F12EB0">
        <w:rPr>
          <w:rFonts w:ascii="Times New Roman" w:hAnsi="Times New Roman"/>
        </w:rPr>
        <w:t>janvāra sēdes protokola Nr.1 95.§ 5.punktā dotajam uzdevumam - sagatavot vadlīnijas par minimālajām tehniskajām prasībām ēkās esošo telpu vai telpu grupu piemērotībai patvertnes vai vietas, kur var patverties (pagrabi, pazemes autostāvvietas u.c.), atjaunošanai vai izveidošanai</w:t>
      </w:r>
    </w:p>
  </w:footnote>
  <w:footnote w:id="5">
    <w:p w14:paraId="716EB0DD" w14:textId="60FE2E54"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Saskaņā ar Ministru kabineta 2024. gada 9.</w:t>
      </w:r>
      <w:r w:rsidR="0012686C">
        <w:rPr>
          <w:rFonts w:ascii="Times New Roman" w:hAnsi="Times New Roman"/>
        </w:rPr>
        <w:t xml:space="preserve"> </w:t>
      </w:r>
      <w:r w:rsidRPr="00F12EB0">
        <w:rPr>
          <w:rFonts w:ascii="Times New Roman" w:hAnsi="Times New Roman"/>
        </w:rPr>
        <w:t>janvāra sēdes protokola Nr. 1, 95.§ informatīvajā ziņojumā "Par tālāko rīcību patvertņu jautājumā" norādīto informāciju, sadārdzinājums ir atkarīgs no konkrētās būvniecības lietas rakstura, vidēji variējot 10-30% robežās. Aplēsts, ka jaunu objektu gadījumā patvertņu izbūves izmaksas, ciktāl tas attiecas uz pagrabstāva pārseguma pastiprināšanu, varētu pieaugt aptuveni par 50%, tādējādi, piemēram, 5 stāvu ēkas gadījumā ēkas konstrukciju kopējās izmaksas var pieaugt par aptuveni 10%.</w:t>
      </w:r>
    </w:p>
  </w:footnote>
  <w:footnote w:id="6">
    <w:p w14:paraId="3E8404D2" w14:textId="77777777" w:rsidR="00843EFF" w:rsidRPr="00AB793B"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Pieejams: </w:t>
      </w:r>
      <w:hyperlink r:id="rId1" w:history="1">
        <w:r w:rsidRPr="00F12EB0">
          <w:rPr>
            <w:rStyle w:val="Hyperlink1"/>
            <w:rFonts w:ascii="Times New Roman" w:hAnsi="Times New Roman"/>
          </w:rPr>
          <w:t>https://www.cimic-coe.org/resources/fact-sheets/resilience-through-civil-preparedness.pdf</w:t>
        </w:r>
      </w:hyperlink>
      <w:r w:rsidRPr="00AB793B">
        <w:rPr>
          <w:rFonts w:ascii="Times New Roman" w:hAnsi="Times New Roman"/>
        </w:rPr>
        <w:t xml:space="preserve"> </w:t>
      </w:r>
    </w:p>
  </w:footnote>
  <w:footnote w:id="7">
    <w:p w14:paraId="69B9D3EA" w14:textId="5073E92D" w:rsidR="00843EFF" w:rsidRPr="00F12EB0" w:rsidRDefault="00843EFF" w:rsidP="00843EFF">
      <w:pPr>
        <w:pStyle w:val="FootnoteText"/>
        <w:jc w:val="both"/>
        <w:rPr>
          <w:rFonts w:ascii="Times New Roman" w:hAnsi="Times New Roman"/>
        </w:rPr>
      </w:pPr>
      <w:r w:rsidRPr="00AB793B">
        <w:rPr>
          <w:rStyle w:val="FootnoteReference"/>
          <w:rFonts w:ascii="Times New Roman" w:hAnsi="Times New Roman"/>
        </w:rPr>
        <w:footnoteRef/>
      </w:r>
      <w:r w:rsidRPr="00AB793B">
        <w:rPr>
          <w:rFonts w:ascii="Times New Roman" w:hAnsi="Times New Roman"/>
        </w:rPr>
        <w:t xml:space="preserve"> </w:t>
      </w:r>
      <w:r w:rsidRPr="00F12EB0">
        <w:rPr>
          <w:rFonts w:ascii="Times New Roman" w:hAnsi="Times New Roman"/>
        </w:rPr>
        <w:t>Saskaņā ar 2017. gada 14.</w:t>
      </w:r>
      <w:r w:rsidR="00650116">
        <w:rPr>
          <w:rFonts w:ascii="Times New Roman" w:hAnsi="Times New Roman"/>
        </w:rPr>
        <w:t xml:space="preserve"> </w:t>
      </w:r>
      <w:r w:rsidRPr="00F12EB0">
        <w:rPr>
          <w:rFonts w:ascii="Times New Roman" w:hAnsi="Times New Roman"/>
        </w:rPr>
        <w:t>decembrī pieņemtā "Veselības aprūpes finansēšanas likuma" 8.panta pirmo daļu (publicēts: Latvijas Vēstnesī, 259, 31.12.2017.; stājās spēkā 01.01.2018.).</w:t>
      </w:r>
    </w:p>
  </w:footnote>
  <w:footnote w:id="8">
    <w:p w14:paraId="3A3295AB" w14:textId="1EC9F095"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Divējādās lietojamības principi būtu attiecināmi ne tikai uz tiem sociālo pakalpojumu sniedzējiem, kuri sniedz sociālos pakalpojumus ar izmitināšanu.</w:t>
      </w:r>
    </w:p>
  </w:footnote>
  <w:footnote w:id="9">
    <w:p w14:paraId="41A4878E" w14:textId="77777777"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Pašvaldību likums stājās spēkā: 01.01.2023., pieejams: </w:t>
      </w:r>
      <w:hyperlink r:id="rId2" w:history="1">
        <w:r w:rsidRPr="00F12EB0">
          <w:rPr>
            <w:rStyle w:val="Hyperlink1"/>
            <w:rFonts w:ascii="Times New Roman" w:hAnsi="Times New Roman"/>
          </w:rPr>
          <w:t>https://likumi.lv/ta/id/336956-pasvaldibu-likums</w:t>
        </w:r>
      </w:hyperlink>
      <w:r w:rsidRPr="00F12EB0">
        <w:rPr>
          <w:rFonts w:ascii="Times New Roman" w:hAnsi="Times New Roman"/>
        </w:rPr>
        <w:t xml:space="preserve">  </w:t>
      </w:r>
    </w:p>
  </w:footnote>
  <w:footnote w:id="10">
    <w:p w14:paraId="5FF12288" w14:textId="77777777"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Kultūrpolitikas pamatnostādnes 2014. – 2020. gadam </w:t>
      </w:r>
      <w:r w:rsidRPr="00F12EB0">
        <w:rPr>
          <w:rFonts w:ascii="Times New Roman" w:hAnsi="Times New Roman"/>
          <w:i/>
        </w:rPr>
        <w:t>„Radošā Latvija”</w:t>
      </w:r>
    </w:p>
  </w:footnote>
  <w:footnote w:id="11">
    <w:p w14:paraId="40C6B457" w14:textId="77777777" w:rsidR="00843EFF" w:rsidRPr="00F12EB0" w:rsidRDefault="00843EFF" w:rsidP="00843EFF">
      <w:pPr>
        <w:pStyle w:val="FootnoteText"/>
        <w:jc w:val="both"/>
        <w:rPr>
          <w:rFonts w:ascii="Times New Roman" w:hAnsi="Times New Roman"/>
        </w:rPr>
      </w:pPr>
      <w:r w:rsidRPr="00F12EB0">
        <w:rPr>
          <w:rStyle w:val="FootnoteReference"/>
          <w:rFonts w:ascii="Times New Roman" w:hAnsi="Times New Roman"/>
        </w:rPr>
        <w:footnoteRef/>
      </w:r>
      <w:r w:rsidRPr="00F12EB0">
        <w:rPr>
          <w:rFonts w:ascii="Times New Roman" w:hAnsi="Times New Roman"/>
        </w:rPr>
        <w:t xml:space="preserve"> Kultūras pakalpojumu groza konceptā šobrīd noteikts, ka pagasta līmenī iedzīvotājiem jābūt pieejamiem bibliotēku pakalpojumiem, iespējām izmantot kultūrizglītības, mākslinieciskās jaunrades, kultūras pasākumu un brīvā laika pavadīšanas iespējas, piekļūt kultūrvēsturiskajam mantojumam, iesaistīties Dziesmu un deju svētku procesā un radošajā uzņēmējdarbībā. Novada līmenī pakalpojumu grozu papildina profesionālās ievirzes mākslas un mūzikas izglītības pieejamība, profesionālās kultūrizglītības pieejamība un muzeju pakalpojumi, </w:t>
      </w:r>
      <w:proofErr w:type="spellStart"/>
      <w:r w:rsidRPr="00F12EB0">
        <w:rPr>
          <w:rFonts w:ascii="Times New Roman" w:hAnsi="Times New Roman"/>
        </w:rPr>
        <w:t>valstspilsētu</w:t>
      </w:r>
      <w:proofErr w:type="spellEnd"/>
      <w:r w:rsidRPr="00F12EB0">
        <w:rPr>
          <w:rFonts w:ascii="Times New Roman" w:hAnsi="Times New Roman"/>
        </w:rPr>
        <w:t xml:space="preserve"> līmenī – arhīvu pakalpojumi, profesionālās mākslas pieejamība (akustiskā koncertzāle, laikmetīgais mākslas muzejs, izstāžu zāles, teātri, opera, daudzfunkcionālie kultūras centri), kino pieejamība, kā arī padziļināts muzeju pakalpojumu kopums un augstākās izglītības iespējas kultūras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BA590" w14:textId="77777777" w:rsidR="006605F7" w:rsidRDefault="00660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242049"/>
      <w:docPartObj>
        <w:docPartGallery w:val="Page Numbers (Top of Page)"/>
        <w:docPartUnique/>
      </w:docPartObj>
    </w:sdtPr>
    <w:sdtEndPr>
      <w:rPr>
        <w:rFonts w:ascii="Times New Roman" w:hAnsi="Times New Roman" w:cs="Times New Roman"/>
        <w:noProof/>
        <w:sz w:val="24"/>
        <w:szCs w:val="24"/>
      </w:rPr>
    </w:sdtEndPr>
    <w:sdtContent>
      <w:p w14:paraId="79884403" w14:textId="30B86476" w:rsidR="006605F7" w:rsidRPr="006605F7" w:rsidRDefault="006605F7">
        <w:pPr>
          <w:pStyle w:val="Header"/>
          <w:jc w:val="right"/>
          <w:rPr>
            <w:rFonts w:ascii="Times New Roman" w:hAnsi="Times New Roman" w:cs="Times New Roman"/>
            <w:sz w:val="24"/>
            <w:szCs w:val="24"/>
          </w:rPr>
        </w:pPr>
        <w:r w:rsidRPr="006605F7">
          <w:rPr>
            <w:rFonts w:ascii="Times New Roman" w:hAnsi="Times New Roman" w:cs="Times New Roman"/>
            <w:sz w:val="24"/>
            <w:szCs w:val="24"/>
          </w:rPr>
          <w:fldChar w:fldCharType="begin"/>
        </w:r>
        <w:r w:rsidRPr="006605F7">
          <w:rPr>
            <w:rFonts w:ascii="Times New Roman" w:hAnsi="Times New Roman" w:cs="Times New Roman"/>
            <w:sz w:val="24"/>
            <w:szCs w:val="24"/>
          </w:rPr>
          <w:instrText xml:space="preserve"> PAGE   \* MERGEFORMAT </w:instrText>
        </w:r>
        <w:r w:rsidRPr="006605F7">
          <w:rPr>
            <w:rFonts w:ascii="Times New Roman" w:hAnsi="Times New Roman" w:cs="Times New Roman"/>
            <w:sz w:val="24"/>
            <w:szCs w:val="24"/>
          </w:rPr>
          <w:fldChar w:fldCharType="separate"/>
        </w:r>
        <w:r w:rsidRPr="006605F7">
          <w:rPr>
            <w:rFonts w:ascii="Times New Roman" w:hAnsi="Times New Roman" w:cs="Times New Roman"/>
            <w:noProof/>
            <w:sz w:val="24"/>
            <w:szCs w:val="24"/>
          </w:rPr>
          <w:t>2</w:t>
        </w:r>
        <w:r w:rsidRPr="006605F7">
          <w:rPr>
            <w:rFonts w:ascii="Times New Roman" w:hAnsi="Times New Roman" w:cs="Times New Roman"/>
            <w:noProof/>
            <w:sz w:val="24"/>
            <w:szCs w:val="24"/>
          </w:rPr>
          <w:fldChar w:fldCharType="end"/>
        </w:r>
      </w:p>
    </w:sdtContent>
  </w:sdt>
  <w:p w14:paraId="05B315D9" w14:textId="77777777" w:rsidR="006605F7" w:rsidRDefault="006605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FED5F" w14:textId="77777777" w:rsidR="006605F7" w:rsidRDefault="00660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517A7"/>
    <w:multiLevelType w:val="hybridMultilevel"/>
    <w:tmpl w:val="FCD064B0"/>
    <w:lvl w:ilvl="0" w:tplc="35428D2C">
      <w:start w:val="1"/>
      <w:numFmt w:val="decimal"/>
      <w:lvlText w:val="%1)"/>
      <w:lvlJc w:val="left"/>
      <w:pPr>
        <w:ind w:left="720" w:hanging="360"/>
      </w:pPr>
      <w:rPr>
        <w:rFonts w:eastAsia="Times New Roman" w:hint="default"/>
        <w:b/>
        <w:bCs w:val="0"/>
      </w:rPr>
    </w:lvl>
    <w:lvl w:ilvl="1" w:tplc="98DE0CC4">
      <w:start w:val="1"/>
      <w:numFmt w:val="lowerLetter"/>
      <w:lvlText w:val="%2)"/>
      <w:lvlJc w:val="left"/>
      <w:pPr>
        <w:ind w:left="1440" w:hanging="360"/>
      </w:pPr>
      <w:rPr>
        <w:rFonts w:ascii="Times New Roman" w:eastAsiaTheme="minorHAnsi" w:hAnsi="Times New Roman" w:cs="Times New Roman"/>
      </w:rPr>
    </w:lvl>
    <w:lvl w:ilvl="2" w:tplc="F844FB00">
      <w:start w:val="1"/>
      <w:numFmt w:val="lowerRoman"/>
      <w:lvlText w:val="%3."/>
      <w:lvlJc w:val="right"/>
      <w:pPr>
        <w:ind w:left="2160" w:hanging="180"/>
      </w:pPr>
      <w:rPr>
        <w:b w:val="0"/>
        <w:bCs w:val="0"/>
      </w:rPr>
    </w:lvl>
    <w:lvl w:ilvl="3" w:tplc="4EC8D5EE">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C91EF3"/>
    <w:multiLevelType w:val="hybridMultilevel"/>
    <w:tmpl w:val="BCA457EC"/>
    <w:lvl w:ilvl="0" w:tplc="908A622C">
      <w:start w:val="1"/>
      <w:numFmt w:val="decimal"/>
      <w:lvlText w:val="%1)"/>
      <w:lvlJc w:val="left"/>
      <w:pPr>
        <w:ind w:left="720" w:hanging="360"/>
      </w:pPr>
      <w:rPr>
        <w:rFonts w:ascii="Times New Roman" w:eastAsiaTheme="minorHAnsi" w:hAnsi="Times New Roman" w:cs="Times New Roman"/>
      </w:rPr>
    </w:lvl>
    <w:lvl w:ilvl="1" w:tplc="E0DCFCFA">
      <w:start w:val="5"/>
      <w:numFmt w:val="bullet"/>
      <w:lvlText w:val="-"/>
      <w:lvlJc w:val="left"/>
      <w:pPr>
        <w:ind w:left="1080" w:hanging="360"/>
      </w:pPr>
      <w:rPr>
        <w:rFonts w:ascii="Times New Roman" w:eastAsia="Times New Roman" w:hAnsi="Times New Roman" w:cs="Times New Roman" w:hint="default"/>
      </w:rPr>
    </w:lvl>
    <w:lvl w:ilvl="2" w:tplc="57C6D19C">
      <w:start w:val="1"/>
      <w:numFmt w:val="lowerLetter"/>
      <w:lvlText w:val="%3)"/>
      <w:lvlJc w:val="left"/>
      <w:pPr>
        <w:ind w:left="2160" w:hanging="360"/>
      </w:pPr>
      <w:rPr>
        <w:rFonts w:ascii="Times New Roman" w:eastAsiaTheme="minorHAnsi" w:hAnsi="Times New Roman" w:cs="Times New Roman"/>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FE4A5F"/>
    <w:multiLevelType w:val="hybridMultilevel"/>
    <w:tmpl w:val="44A25FBC"/>
    <w:lvl w:ilvl="0" w:tplc="2F0091C2">
      <w:start w:val="1"/>
      <w:numFmt w:val="decimal"/>
      <w:lvlText w:val="%1)"/>
      <w:lvlJc w:val="left"/>
      <w:pPr>
        <w:ind w:left="720" w:hanging="360"/>
      </w:pPr>
      <w:rPr>
        <w:rFonts w:ascii="Times New Roman" w:eastAsiaTheme="minorHAnsi" w:hAnsi="Times New Roman" w:cs="Times New Roman"/>
      </w:rPr>
    </w:lvl>
    <w:lvl w:ilvl="1" w:tplc="E0DCFCFA">
      <w:start w:val="5"/>
      <w:numFmt w:val="bullet"/>
      <w:lvlText w:val="-"/>
      <w:lvlJc w:val="left"/>
      <w:pPr>
        <w:ind w:left="108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7D4AD9"/>
    <w:multiLevelType w:val="hybridMultilevel"/>
    <w:tmpl w:val="54546C8E"/>
    <w:lvl w:ilvl="0" w:tplc="EF7AD72C">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BD5B57"/>
    <w:multiLevelType w:val="hybridMultilevel"/>
    <w:tmpl w:val="BAFC0B66"/>
    <w:lvl w:ilvl="0" w:tplc="FFFFFFFF">
      <w:start w:val="1"/>
      <w:numFmt w:val="decimal"/>
      <w:lvlText w:val="%1)"/>
      <w:lvlJc w:val="left"/>
      <w:pPr>
        <w:ind w:left="720" w:hanging="360"/>
      </w:pPr>
      <w:rPr>
        <w:rFonts w:ascii="Times New Roman" w:eastAsiaTheme="minorHAnsi" w:hAnsi="Times New Roman" w:cs="Times New Roman"/>
      </w:rPr>
    </w:lvl>
    <w:lvl w:ilvl="1" w:tplc="FFFFFFFF">
      <w:start w:val="5"/>
      <w:numFmt w:val="bullet"/>
      <w:lvlText w:val="-"/>
      <w:lvlJc w:val="left"/>
      <w:pPr>
        <w:ind w:left="1080" w:hanging="360"/>
      </w:pPr>
      <w:rPr>
        <w:rFonts w:ascii="Times New Roman" w:eastAsia="Times New Roman" w:hAnsi="Times New Roman" w:cs="Times New Roman" w:hint="default"/>
      </w:rPr>
    </w:lvl>
    <w:lvl w:ilvl="2" w:tplc="FFFFFFFF">
      <w:start w:val="1"/>
      <w:numFmt w:val="lowerLetter"/>
      <w:lvlText w:val="%3."/>
      <w:lvlJc w:val="left"/>
      <w:pPr>
        <w:ind w:left="2160" w:hanging="360"/>
      </w:pPr>
      <w:rPr>
        <w:rFonts w:ascii="Times New Roman" w:eastAsiaTheme="minorHAnsi" w:hAnsi="Times New Roman" w:cs="Times New Roman"/>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DF1561"/>
    <w:multiLevelType w:val="hybridMultilevel"/>
    <w:tmpl w:val="9E188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2D28CB"/>
    <w:multiLevelType w:val="hybridMultilevel"/>
    <w:tmpl w:val="44607360"/>
    <w:lvl w:ilvl="0" w:tplc="44E8EB70">
      <w:start w:val="1"/>
      <w:numFmt w:val="lowerLetter"/>
      <w:lvlText w:val="%1)"/>
      <w:lvlJc w:val="left"/>
      <w:pPr>
        <w:ind w:left="1080" w:hanging="360"/>
      </w:pPr>
      <w:rPr>
        <w:rFonts w:ascii="Times New Roman" w:eastAsiaTheme="minorHAnsi" w:hAnsi="Times New Roman" w:cs="Times New Roman"/>
      </w:rPr>
    </w:lvl>
    <w:lvl w:ilvl="1" w:tplc="C3BEE7AA">
      <w:start w:val="1"/>
      <w:numFmt w:val="lowerLetter"/>
      <w:lvlText w:val="%2)"/>
      <w:lvlJc w:val="left"/>
      <w:pPr>
        <w:ind w:left="1800" w:hanging="360"/>
      </w:pPr>
      <w:rPr>
        <w:rFonts w:ascii="Times New Roman" w:eastAsiaTheme="minorHAns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37147460">
    <w:abstractNumId w:val="3"/>
  </w:num>
  <w:num w:numId="2" w16cid:durableId="1223950970">
    <w:abstractNumId w:val="1"/>
  </w:num>
  <w:num w:numId="3" w16cid:durableId="940182195">
    <w:abstractNumId w:val="2"/>
  </w:num>
  <w:num w:numId="4" w16cid:durableId="1469973822">
    <w:abstractNumId w:val="4"/>
  </w:num>
  <w:num w:numId="5" w16cid:durableId="203300466">
    <w:abstractNumId w:val="6"/>
  </w:num>
  <w:num w:numId="6" w16cid:durableId="1495418493">
    <w:abstractNumId w:val="0"/>
  </w:num>
  <w:num w:numId="7" w16cid:durableId="170685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FF"/>
    <w:rsid w:val="00031881"/>
    <w:rsid w:val="000605A1"/>
    <w:rsid w:val="000C0DD4"/>
    <w:rsid w:val="0012686C"/>
    <w:rsid w:val="00135B55"/>
    <w:rsid w:val="001D35F3"/>
    <w:rsid w:val="001F041F"/>
    <w:rsid w:val="001F5726"/>
    <w:rsid w:val="00206F82"/>
    <w:rsid w:val="00293E70"/>
    <w:rsid w:val="0037668F"/>
    <w:rsid w:val="004D10B3"/>
    <w:rsid w:val="005B302D"/>
    <w:rsid w:val="005C613D"/>
    <w:rsid w:val="00650116"/>
    <w:rsid w:val="006605F7"/>
    <w:rsid w:val="006A0FB3"/>
    <w:rsid w:val="006D2290"/>
    <w:rsid w:val="0071728C"/>
    <w:rsid w:val="00843EFF"/>
    <w:rsid w:val="008471B1"/>
    <w:rsid w:val="008D6A31"/>
    <w:rsid w:val="008E2F61"/>
    <w:rsid w:val="009405DF"/>
    <w:rsid w:val="00950F93"/>
    <w:rsid w:val="00A76D4F"/>
    <w:rsid w:val="00B70C4E"/>
    <w:rsid w:val="00BF7CE2"/>
    <w:rsid w:val="00D25E6E"/>
    <w:rsid w:val="00E63B43"/>
    <w:rsid w:val="00F31ED4"/>
    <w:rsid w:val="00F431B9"/>
    <w:rsid w:val="00FB5B6C"/>
    <w:rsid w:val="00FF1AD9"/>
    <w:rsid w:val="055DB137"/>
    <w:rsid w:val="0B1DE02F"/>
    <w:rsid w:val="1F42AE8B"/>
    <w:rsid w:val="2A50CF5D"/>
    <w:rsid w:val="348991E8"/>
    <w:rsid w:val="3C10E9B7"/>
    <w:rsid w:val="3E98CE23"/>
    <w:rsid w:val="46B610C9"/>
    <w:rsid w:val="4A80C604"/>
    <w:rsid w:val="7C23885A"/>
    <w:rsid w:val="7CE115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F4BCD"/>
  <w15:chartTrackingRefBased/>
  <w15:docId w15:val="{2FD9AF0C-58F8-41E5-8C1E-3385BB9C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3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3E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3E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3E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E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3E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3E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3E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3E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EFF"/>
    <w:rPr>
      <w:rFonts w:eastAsiaTheme="majorEastAsia" w:cstheme="majorBidi"/>
      <w:color w:val="272727" w:themeColor="text1" w:themeTint="D8"/>
    </w:rPr>
  </w:style>
  <w:style w:type="paragraph" w:styleId="Title">
    <w:name w:val="Title"/>
    <w:basedOn w:val="Normal"/>
    <w:next w:val="Normal"/>
    <w:link w:val="TitleChar"/>
    <w:uiPriority w:val="10"/>
    <w:qFormat/>
    <w:rsid w:val="0084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EFF"/>
    <w:pPr>
      <w:spacing w:before="160"/>
      <w:jc w:val="center"/>
    </w:pPr>
    <w:rPr>
      <w:i/>
      <w:iCs/>
      <w:color w:val="404040" w:themeColor="text1" w:themeTint="BF"/>
    </w:rPr>
  </w:style>
  <w:style w:type="character" w:customStyle="1" w:styleId="QuoteChar">
    <w:name w:val="Quote Char"/>
    <w:basedOn w:val="DefaultParagraphFont"/>
    <w:link w:val="Quote"/>
    <w:uiPriority w:val="29"/>
    <w:rsid w:val="00843EFF"/>
    <w:rPr>
      <w:i/>
      <w:iCs/>
      <w:color w:val="404040" w:themeColor="text1" w:themeTint="BF"/>
    </w:rPr>
  </w:style>
  <w:style w:type="paragraph" w:styleId="ListParagraph">
    <w:name w:val="List Paragraph"/>
    <w:basedOn w:val="Normal"/>
    <w:uiPriority w:val="34"/>
    <w:qFormat/>
    <w:rsid w:val="00843EFF"/>
    <w:pPr>
      <w:ind w:left="720"/>
      <w:contextualSpacing/>
    </w:pPr>
  </w:style>
  <w:style w:type="character" w:styleId="IntenseEmphasis">
    <w:name w:val="Intense Emphasis"/>
    <w:basedOn w:val="DefaultParagraphFont"/>
    <w:uiPriority w:val="21"/>
    <w:qFormat/>
    <w:rsid w:val="00843EFF"/>
    <w:rPr>
      <w:i/>
      <w:iCs/>
      <w:color w:val="2F5496" w:themeColor="accent1" w:themeShade="BF"/>
    </w:rPr>
  </w:style>
  <w:style w:type="paragraph" w:styleId="IntenseQuote">
    <w:name w:val="Intense Quote"/>
    <w:basedOn w:val="Normal"/>
    <w:next w:val="Normal"/>
    <w:link w:val="IntenseQuoteChar"/>
    <w:uiPriority w:val="30"/>
    <w:qFormat/>
    <w:rsid w:val="00843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3EFF"/>
    <w:rPr>
      <w:i/>
      <w:iCs/>
      <w:color w:val="2F5496" w:themeColor="accent1" w:themeShade="BF"/>
    </w:rPr>
  </w:style>
  <w:style w:type="character" w:styleId="IntenseReference">
    <w:name w:val="Intense Reference"/>
    <w:basedOn w:val="DefaultParagraphFont"/>
    <w:uiPriority w:val="32"/>
    <w:qFormat/>
    <w:rsid w:val="00843EFF"/>
    <w:rPr>
      <w:b/>
      <w:bCs/>
      <w:smallCaps/>
      <w:color w:val="2F5496" w:themeColor="accent1" w:themeShade="BF"/>
      <w:spacing w:val="5"/>
    </w:rPr>
  </w:style>
  <w:style w:type="paragraph" w:styleId="FootnoteText">
    <w:name w:val="footnote text"/>
    <w:basedOn w:val="Normal"/>
    <w:link w:val="FootnoteTextChar"/>
    <w:uiPriority w:val="99"/>
    <w:semiHidden/>
    <w:unhideWhenUsed/>
    <w:rsid w:val="00843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EFF"/>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843EFF"/>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843EFF"/>
    <w:pPr>
      <w:spacing w:line="240" w:lineRule="exact"/>
      <w:jc w:val="both"/>
    </w:pPr>
    <w:rPr>
      <w:vertAlign w:val="superscript"/>
    </w:rPr>
  </w:style>
  <w:style w:type="character" w:customStyle="1" w:styleId="Hyperlink1">
    <w:name w:val="Hyperlink1"/>
    <w:basedOn w:val="DefaultParagraphFont"/>
    <w:uiPriority w:val="99"/>
    <w:unhideWhenUsed/>
    <w:rsid w:val="00843EFF"/>
    <w:rPr>
      <w:color w:val="0563C1"/>
      <w:u w:val="single"/>
    </w:rPr>
  </w:style>
  <w:style w:type="paragraph" w:styleId="Header">
    <w:name w:val="header"/>
    <w:basedOn w:val="Normal"/>
    <w:link w:val="HeaderChar"/>
    <w:uiPriority w:val="99"/>
    <w:unhideWhenUsed/>
    <w:rsid w:val="00E63B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3B43"/>
  </w:style>
  <w:style w:type="paragraph" w:styleId="Footer">
    <w:name w:val="footer"/>
    <w:basedOn w:val="Normal"/>
    <w:link w:val="FooterChar"/>
    <w:uiPriority w:val="99"/>
    <w:unhideWhenUsed/>
    <w:rsid w:val="00E63B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3B43"/>
  </w:style>
  <w:style w:type="paragraph" w:styleId="Revision">
    <w:name w:val="Revision"/>
    <w:hidden/>
    <w:uiPriority w:val="99"/>
    <w:semiHidden/>
    <w:rsid w:val="005B30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6956-pasvaldibu-likums" TargetMode="External"/><Relationship Id="rId1" Type="http://schemas.openxmlformats.org/officeDocument/2006/relationships/hyperlink" Target="https://www.cimic-coe.org/resources/fact-sheets/resilience-through-civil-prepared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3BB90-43CB-4074-ABB4-1504FB3488A4}">
  <ds:schemaRefs>
    <ds:schemaRef ds:uri="http://schemas.microsoft.com/sharepoint/v3/contenttype/forms"/>
  </ds:schemaRefs>
</ds:datastoreItem>
</file>

<file path=customXml/itemProps2.xml><?xml version="1.0" encoding="utf-8"?>
<ds:datastoreItem xmlns:ds="http://schemas.openxmlformats.org/officeDocument/2006/customXml" ds:itemID="{B5030086-CB58-4E5A-9092-E9CB31B656FD}">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3.xml><?xml version="1.0" encoding="utf-8"?>
<ds:datastoreItem xmlns:ds="http://schemas.openxmlformats.org/officeDocument/2006/customXml" ds:itemID="{1C054828-FDD4-4539-9C43-303E00DDE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15262</Words>
  <Characters>8700</Characters>
  <Application>Microsoft Office Word</Application>
  <DocSecurity>0</DocSecurity>
  <Lines>72</Lines>
  <Paragraphs>47</Paragraphs>
  <ScaleCrop>false</ScaleCrop>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19</cp:revision>
  <dcterms:created xsi:type="dcterms:W3CDTF">2024-09-30T21:11:00Z</dcterms:created>
  <dcterms:modified xsi:type="dcterms:W3CDTF">2024-12-05T09:33:00Z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