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maijā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3. jūnijā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12:00-14:55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9. maija noteikumos Nr. 253 "Atsevišķu inženierbūvju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Rīkojuma projekts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30. augusta noteikumos Nr. 676 "Vīzu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25. marta noteikumos Nr. 161 "Kārtība, kādā novērš vardarbības draudus un nodrošina pagaidu aizsardzību pret vardarbību""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22.00.00 "Valsts ārējās robežas drošības pasākumu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7. februāra noteikumos Nr. 78 "Dabasgāzes tirdzniecības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"62. Mērķdotācijas pašvaldībām" programmas 02.00.00 "Mērķdotācijas pašvaldību tautas mākslas kolektīvu vadītāju darba samaksai un valsts sociālās apdrošināšanas obligātajām iemaksām""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2003. gada 29. aprīļa noteikumos Nr. 242 "Satiksmes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"Punkas" Baldones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27. februāra noteikumos Nr. 137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4.3.5.5. pasākuma "Pieeja tiesiskumam"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18. februāra noteikumos Nr. 101 "Darbības programmas "Izaugsme un nodarbinātība" 5.4.3. specifiskā atbalsta mērķa "Pasākumi biotopu un sugu aizsardzības labvēlīga statusa atjaunošanai" 5.4.3.1. pasākuma "Eiropas Savienības nozīmes dzīvotņu atjaunošana"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mērķdotāciju sadalījumu pašvaldību māksliniecisko kolektīvu vadītāju darba samaksai un valsts sociālās apdrošināšanas obligātajām iemaksām no 2025. gada 1. janvāra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Republikas delegāciju dalībai Apvienoto Nāciju Organizācijas Cilvēktiesību komitejas 144. sesijā Ženēvā"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"Latvijas un Šveices sadarbības programmas 2019.–2029. gada perioda programmas "Vēsturiski piesārņoto vietu sanācija"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2024. gada 14. maija noteikumos Nr. 289 "Noteikumi par valsts metroloģiskajai kontrolei pakļauto mērīšanas līdzekļu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Vladislavs Eidimts (Sabiedrība ar ierobežotu atbildību "OB serviss")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Pauniņa (SIA du6me)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15. septembra noteikumos Nr. 524 "Kārtība, kādā nosaka, aprēķina un uzskaita katra dzīvojamās mājas īpašnieka maksājamo daļu par dzīvojamās mājas uzturēšanai nepieciešamajiem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Auders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Pauniņa (SIA du6me)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Vladislavs Eidimts (Sabiedrība ar ierobežotu atbildību "OB serviss")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2008. gada 9. decembra noteikumos Nr. 1013 "Kārtība, kādā dzīvokļa īpašnieks daudzdzīvokļu dzīvojamā mājā norēķinās par pakalpojumiem, kas saistīti ar dzīvokļa īpašuma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Auders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Vladislavs Eidimts (Sabiedrība ar ierobežotu atbildību "OB serviss")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Pauniņa (SIA du6me)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Valsts policija veic drošības līdzekļa izpildes elektronisko uzraudzību, datu apstrādi un 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"Latvijas un Šveices sadarbības programmas 2019.–2029. gada perioda līdzfinansētās programmas "Bērnu vēža aprūpes attīstība Latvijā"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Bikava (VSIA Bērnu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2014. gada 15. septembra rīkojumā Nr. 494 "Par ilgtermiņa saistībām Ziemeļatlantijas līguma organizācijas izcilības centra stratēģiskās komunikācijas jautājumos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"Par prioritāri veicamo pasākumu plānu stratēģijas "Aizsardzības industrijas un inovāciju atbalsta stratēģija 2025–2036" ieviešanai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Vīksne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"Latvijas enerģētikas stratēģija līdz 2050.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Lilita Vagele (Latvijas arodbiedrība "Enerģija")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Finanšu ministrijas pārziņā esošo Eiropas Savienības fondu un ārvalstu finanšu palīdzības aktualitātēm līdz 2025. gada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Šadris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Rancāne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"Finanšu izlūkošanas dienesta 2024. gada pārskats"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Valsts ilgtermiņa tematiskā plānojuma Baltijas jūras piekrastes publiskās infrastruktūras attīstībai īstenošanas 2020.-2023. gadā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Latvijas Republikas pievienošanos Montrē dokumentam par valstīm piemērojamām starptautiskām juridiskām saistībām un labu praksi saistībā ar privāto militāro un apsardzes uzņēmumu darbību bruņota konflikta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Tautsaimniecības, agrārās, vides un reģionālās politikas komisijai (par Enerģētikas stratēģiju 2050.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Transporta, telekomunikāciju un enerģētikas Ministru padomes 2025. gada 5.-6. jūnija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Rituma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Kurpniece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Augsta līmeņa Apvienoto Nāciju Organizācijas 2025. gada konferenci par ilgtspējīgas attīstības mērķa Nr. 14 īstenošanas atbalstu: saglabāt un ilgtspējīgi izmantot okeānus, jūras un jūras resursus ilgtspējīgai attīstībai (2025. gada ANO Okeāna konference)"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25-TA-1346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Padomes ieteikumu projektu par Eiropas Savienības (ES) kiberkrīžu pārvaldības plānu (EU Cyber Blueprint)"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Mestere (AM)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25-TA-1078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programmas rādītāju novērtējumu programmai "ANM zemas īres mājokļu būvniecības aizdevumi""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Sniedziņš (ALTUM)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25-TA-1181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VSIA "Paula Stradiņa klīniskā universitātes slimnīca" un SIA "Rīgas Austrumu klīniskā universitātes slimnīca" stratēģisko projektu īstenošanas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Lauris Vidzis (Valsts sabiedrība ar ierobežotu atbildību "Paula Stradiņa klīniskā universitātes slimnīca")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Maračkovskis (VAS "Valsts nekustamie īpašumi")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Edgars Labsvīrs (SIA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25-TA-1345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starptautiskās šķīrējtiesas spriedumu lietā "R.S.E. Holdings AG pret Latvijas Republiku""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2025-MK-DK-0603.docx</dc:title>
</cp:coreProperties>
</file>

<file path=docProps/custom.xml><?xml version="1.0" encoding="utf-8"?>
<Properties xmlns="http://schemas.openxmlformats.org/officeDocument/2006/custom-properties" xmlns:vt="http://schemas.openxmlformats.org/officeDocument/2006/docPropsVTypes"/>
</file>