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19.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12:00-15:45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decembra noteikumos Nr. 1159 "Kārtība, kādā piešķir un izmaksā izdienas pensijas Korupcijas novēršanas un apkarošanas biroja amatpersonām""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 septembra noteikumos Nr. 981 "Bērnu nometņu organizēšanas un darbības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februāra noteikumos Nr. 113 "Ģeotelpisko pamatdatu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novirzīt NATO ANA Trasta fondā iemaksātos finanšu līdzekļus uz NATO Ukrainas visaptverošās palīdzības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2018-TA-2603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2018. gada 10. oktobra rīkojumā Nr. 496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Republikas pārstāvju grupu Latvijas–Baltkrievijas Kopējā komisijā valsts robežas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9. oktobra noteikumos Nr. 695 "Kārtība, kādā piešķir un finansē asistenta pakalpojumu izglītības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15. maija noteikumos Nr. 339 "Noteikumi par ostu formalitātēm""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24. aprīļa noteikumos Nr. 279 "Noteikumi par izņēmumiem, kad nepiemēro Eiropas Parlamenta un Padomes 2006. gada 15. marta Regulu (EK) Nr. 561/2006, ar ko paredz dažu sociālās jomas tiesību aktu saskaņošanu saistībā ar autotransportu, groza Padomes Regulu (EEK) Nr. 3821/85 un Padomes Regulu (EK) Nr. 2135/98 un atceļ Padomes Regulu (EEK) Nr. 3820/85""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"Muižnieki", Dagdas pagastā, Krāslavas novadā, daļas pirkšanu gājēju–velosipēdistu celiņa gar valsts reģionālo autoceļu P61 Krāslava-Dagda (apdzīvotā vietā Ozoliņi) būvniecības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2020. gada 27. augusta rīkojumā Nr. 478 "Par konceptuālo ziņojumu "Par Rail Baltica publiskās lietošanas dzelzceļa infrastruktūras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"Sertificēšanas institūcijas pārskata par valsts deleģēto uzdevumu izpildi satura, iesniegšanas un izskatīšanas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11. janvāra noteikumos Nr. 20 "Ar lietas izskatīšanu saistīto izdevumu aprēķināšanas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Eiropas Savienības Atveseļošanas un noturības mehānisma 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izmanto gadskārtējā valsts budžeta likumā paredzēto apropriāciju valsts un pašvaldību vienoto klientu apkalpošanas centru tīkla izveidei, uzturēšanai un publisko pakalpojumu sistēmas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septembra noteikumos Nr. 759 "Valsts informācijas un komunikācijas tehnoloģiju pārvaldības vadītāju foruma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Pērnavas ielā 2–59, Jelgavā, nodošanu Jelgavas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3. novembra noteikumos Nr. 623 "Pārtikas kazeīnu un kazeinātu kvalitātes, klasifikācijas un papildu marķējuma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22. februāra rīkojumā Nr. 114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"Darbības programmas "Izaugsme un nodarbinātība" prioritārā virziena "Pasākumi Covid-19 pandēmijas seku mazināšanai" 13.1.4. specifiskā atbalsta mērķa "Atveseļošanas pasākumi kultūras jomā" otrās projektu iesniegumu atlases kārtas "Daudzpusīgas profesionālās mākslas pieejamības nodrošināšana nacionālas vai reģionālas nozīmes attīstības centros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23. marta rīkojumā Nr. 198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"Veterinārās prasības un kārtība Ukrainas civiliedzīvotāju dzīvnieku ievešanai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akciju sabiedrībai "Augstsprieguma tīkls" līdzdalības iegūšanai Baltic RCC OÜ"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Berkmane (AS "Augstsprieguma tīkls")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"Zinātniskās darbības bāzes finansējuma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Ance Rudzīte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turpmāko dalības maksu Ziemeļvalstu un Baltijas valstu mobilitātes programmā "Kultūra""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priekšlikumiem atlīdzības palielināšanai Iekšlietu ministrijas un Tieslietu ministrijas institūcijās nodarbinātajiem, kas nodrošina valsts iekšējās drošības stiprināšanas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izdevumu pārstrukturizēšanu vakcinācijas pret Covid-19 pakalpojuma pieejamības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Budžeta un finanšu (nodokļu) komisijai (par energoresursu cenu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Daira Armane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dalību Ziemeļatlantijas līguma organizācijas (NATO) Aizsardzības Inovācijas Akseleratora Ziemeļatlantijas reģionam (Defence Innovation Accelerator for the North Atlantic (DIANA)) iniciatīvā un NATO Inovāciju fondā"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nekustamo īpašumu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vēstules projektu Satversmes tiesai lietā Nr. 2022-06-03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Skarbnieks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A420165522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A420165622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gāzes apgādes turpmāko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elektrotīklu sinhronizāciju ar Eiropu"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Enerģētikas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2022-MK-DK-0419.docx</dc:title>
</cp:coreProperties>
</file>

<file path=docProps/custom.xml><?xml version="1.0" encoding="utf-8"?>
<Properties xmlns="http://schemas.openxmlformats.org/officeDocument/2006/custom-properties" xmlns:vt="http://schemas.openxmlformats.org/officeDocument/2006/docPropsVTypes"/>
</file>