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Valsts kancelejas direktora pienākumu izpildītāja, direktora vietniece tiesību aktu lietās, Juridiskā departamenta vadītāja</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Gailīte</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29. oktobrī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VALSTS SEKRETĀRU SANĀKSMES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2026. gada 5. novembrī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09:10-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Izskatāmie tiesību aktu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24-TA-2801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notekūdeņu dūņu apsaimniekošanas reģionālo centru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Kurevska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Čodare - Plaude (SPRK)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Miķelsons (SPRK)</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Atlācis (Latvijas Lielo pilsētu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26-TA-1977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nekustamo īpašumu daļu pirkšanu valsts galvenā autoceļa A7 "Rīga–Bauska–Lietuvas robeža (Grenctāle)" posma Ķekavas apvedceļš–Bauska, ieskaitot Iecavas un Bauskas apvedceļu, būvniecības projekta īstenošanai un nekustamo īpašumu daļu, kas nav nepieciešamas būvniecības projekta īstenošanai, nodošanu Finanšu ministrijas valdījumā un pārdošanu"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Strautmane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Vita Bružas (VNI)</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Agija Veisa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Dažādi jautājumi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Satversmes tiesas sprieduma lietā Nr. 2025-23-01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Gailīte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2026-VSS-DK-1105.docx</dc:title>
</cp:coreProperties>
</file>

<file path=docProps/custom.xml><?xml version="1.0" encoding="utf-8"?>
<Properties xmlns="http://schemas.openxmlformats.org/officeDocument/2006/custom-properties" xmlns:vt="http://schemas.openxmlformats.org/officeDocument/2006/docPropsVTypes"/>
</file>