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52F799" w14:textId="77777777" w:rsidR="00B93717" w:rsidRDefault="00000000">
      <w:pPr>
        <w:spacing w:after="240"/>
        <w:jc w:val="center"/>
        <w:rPr>
          <w:b/>
        </w:rPr>
      </w:pPr>
      <w:r>
        <w:rPr>
          <w:b/>
        </w:rPr>
        <w:t>“Publiskās apspriešanas laikā 27.01.2026. - 10.02.2026. saņemto viedokļu, priekšlikumu un iebildumu apkopojums par Kritēriji&amp;nbsp;un kārtība, kādā valsts piedalās pedagogu darba samaksas finansēšanā&amp;nbsp;vispārējās pamatizglītības un vispārējās vidējās izglītības pakāpē&amp;nbsp;”</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930"/>
        <w:gridCol w:w="5181"/>
        <w:gridCol w:w="1650"/>
        <w:gridCol w:w="4056"/>
      </w:tblGrid>
      <w:tr w:rsidR="00B93717" w:rsidRPr="00B60CDA" w14:paraId="7C53D635" w14:textId="77777777" w:rsidTr="0089150E">
        <w:tc>
          <w:tcPr>
            <w:tcW w:w="750" w:type="dxa"/>
            <w:shd w:val="clear" w:color="auto" w:fill="FFFFFF"/>
            <w:noWrap/>
            <w:tcMar>
              <w:top w:w="75" w:type="dxa"/>
              <w:left w:w="75" w:type="dxa"/>
              <w:bottom w:w="75" w:type="dxa"/>
              <w:right w:w="75" w:type="dxa"/>
            </w:tcMar>
            <w:vAlign w:val="center"/>
          </w:tcPr>
          <w:p w14:paraId="7BF17156" w14:textId="77777777" w:rsidR="00B93717" w:rsidRPr="00B60CDA" w:rsidRDefault="00000000">
            <w:pPr>
              <w:jc w:val="center"/>
              <w:rPr>
                <w:sz w:val="24"/>
                <w:szCs w:val="24"/>
              </w:rPr>
            </w:pPr>
            <w:r w:rsidRPr="00B60CDA">
              <w:rPr>
                <w:b/>
                <w:sz w:val="24"/>
                <w:szCs w:val="24"/>
              </w:rPr>
              <w:t>Nr.p.k.</w:t>
            </w:r>
          </w:p>
        </w:tc>
        <w:tc>
          <w:tcPr>
            <w:tcW w:w="2930" w:type="dxa"/>
            <w:shd w:val="clear" w:color="auto" w:fill="FFFFFF"/>
            <w:noWrap/>
            <w:tcMar>
              <w:top w:w="75" w:type="dxa"/>
              <w:left w:w="75" w:type="dxa"/>
              <w:bottom w:w="75" w:type="dxa"/>
              <w:right w:w="75" w:type="dxa"/>
            </w:tcMar>
            <w:vAlign w:val="center"/>
          </w:tcPr>
          <w:p w14:paraId="7895D864" w14:textId="77777777" w:rsidR="00B93717" w:rsidRPr="00B60CDA" w:rsidRDefault="00000000">
            <w:pPr>
              <w:jc w:val="center"/>
              <w:rPr>
                <w:sz w:val="24"/>
                <w:szCs w:val="24"/>
              </w:rPr>
            </w:pPr>
            <w:r w:rsidRPr="00B60CDA">
              <w:rPr>
                <w:b/>
                <w:sz w:val="24"/>
                <w:szCs w:val="24"/>
              </w:rPr>
              <w:t>Viedokļa / priekšlikuma / iebilduma iesniedzējs*</w:t>
            </w:r>
          </w:p>
        </w:tc>
        <w:tc>
          <w:tcPr>
            <w:tcW w:w="5181" w:type="dxa"/>
            <w:shd w:val="clear" w:color="auto" w:fill="FFFFFF"/>
            <w:noWrap/>
            <w:tcMar>
              <w:top w:w="75" w:type="dxa"/>
              <w:left w:w="75" w:type="dxa"/>
              <w:bottom w:w="75" w:type="dxa"/>
              <w:right w:w="75" w:type="dxa"/>
            </w:tcMar>
            <w:vAlign w:val="center"/>
          </w:tcPr>
          <w:p w14:paraId="279B609A" w14:textId="77777777" w:rsidR="00B93717" w:rsidRPr="00B60CDA" w:rsidRDefault="00000000">
            <w:pPr>
              <w:jc w:val="center"/>
              <w:rPr>
                <w:sz w:val="24"/>
                <w:szCs w:val="24"/>
              </w:rPr>
            </w:pPr>
            <w:r w:rsidRPr="00B60CDA">
              <w:rPr>
                <w:b/>
                <w:sz w:val="24"/>
                <w:szCs w:val="24"/>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0ED5B98F" w14:textId="77777777" w:rsidR="00B93717" w:rsidRPr="00B60CDA" w:rsidRDefault="00000000" w:rsidP="0089150E">
            <w:pPr>
              <w:jc w:val="center"/>
              <w:rPr>
                <w:sz w:val="24"/>
                <w:szCs w:val="24"/>
              </w:rPr>
            </w:pPr>
            <w:r w:rsidRPr="00B60CDA">
              <w:rPr>
                <w:b/>
                <w:sz w:val="24"/>
                <w:szCs w:val="24"/>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83C4C9C" w14:textId="77777777" w:rsidR="00B93717" w:rsidRPr="00B60CDA" w:rsidRDefault="00000000" w:rsidP="0089150E">
            <w:pPr>
              <w:jc w:val="center"/>
              <w:rPr>
                <w:sz w:val="24"/>
                <w:szCs w:val="24"/>
              </w:rPr>
            </w:pPr>
            <w:r w:rsidRPr="00B60CDA">
              <w:rPr>
                <w:b/>
                <w:sz w:val="24"/>
                <w:szCs w:val="24"/>
              </w:rPr>
              <w:t>Skaidrojums, kādā veidā viedoklis / priekšlikums / iebildums ir ņemts vērā vai ņemts vērā daļēji, vai pamatojums, ja viedoklis / priekšlikums / iebildums nav ņemts vērā</w:t>
            </w:r>
          </w:p>
        </w:tc>
      </w:tr>
      <w:tr w:rsidR="00B93717" w:rsidRPr="00B60CDA" w14:paraId="58096A6B" w14:textId="77777777" w:rsidTr="0089150E">
        <w:tc>
          <w:tcPr>
            <w:tcW w:w="750" w:type="dxa"/>
            <w:shd w:val="clear" w:color="auto" w:fill="FFFFFF"/>
            <w:noWrap/>
            <w:tcMar>
              <w:top w:w="75" w:type="dxa"/>
              <w:left w:w="75" w:type="dxa"/>
              <w:bottom w:w="75" w:type="dxa"/>
              <w:right w:w="75" w:type="dxa"/>
            </w:tcMar>
            <w:vAlign w:val="center"/>
          </w:tcPr>
          <w:p w14:paraId="374DB1C8" w14:textId="77777777" w:rsidR="00B93717" w:rsidRPr="00B60CDA" w:rsidRDefault="00000000">
            <w:pPr>
              <w:jc w:val="center"/>
              <w:rPr>
                <w:sz w:val="24"/>
                <w:szCs w:val="24"/>
              </w:rPr>
            </w:pPr>
            <w:r w:rsidRPr="00B60CDA">
              <w:rPr>
                <w:sz w:val="24"/>
                <w:szCs w:val="24"/>
              </w:rPr>
              <w:t>1.</w:t>
            </w:r>
          </w:p>
        </w:tc>
        <w:tc>
          <w:tcPr>
            <w:tcW w:w="2930" w:type="dxa"/>
            <w:shd w:val="clear" w:color="auto" w:fill="FFFFFF"/>
            <w:noWrap/>
            <w:tcMar>
              <w:top w:w="75" w:type="dxa"/>
              <w:left w:w="75" w:type="dxa"/>
              <w:bottom w:w="75" w:type="dxa"/>
              <w:right w:w="75" w:type="dxa"/>
            </w:tcMar>
            <w:vAlign w:val="center"/>
          </w:tcPr>
          <w:p w14:paraId="3AAA092B" w14:textId="77777777" w:rsidR="00B93717" w:rsidRPr="00B60CDA" w:rsidRDefault="00000000">
            <w:pPr>
              <w:jc w:val="left"/>
              <w:rPr>
                <w:sz w:val="24"/>
                <w:szCs w:val="24"/>
              </w:rPr>
            </w:pPr>
            <w:r w:rsidRPr="00B60CDA">
              <w:rPr>
                <w:sz w:val="24"/>
                <w:szCs w:val="24"/>
              </w:rPr>
              <w:t>"Alternatīvo skolu asociācija"</w:t>
            </w:r>
          </w:p>
        </w:tc>
        <w:tc>
          <w:tcPr>
            <w:tcW w:w="5181" w:type="dxa"/>
            <w:shd w:val="clear" w:color="auto" w:fill="FFFFFF"/>
            <w:noWrap/>
            <w:tcMar>
              <w:top w:w="75" w:type="dxa"/>
              <w:left w:w="75" w:type="dxa"/>
              <w:bottom w:w="75" w:type="dxa"/>
              <w:right w:w="75" w:type="dxa"/>
            </w:tcMar>
            <w:vAlign w:val="center"/>
          </w:tcPr>
          <w:p w14:paraId="282E8359" w14:textId="77777777" w:rsidR="00B93717" w:rsidRPr="00B60CDA" w:rsidRDefault="00000000">
            <w:pPr>
              <w:jc w:val="left"/>
              <w:rPr>
                <w:sz w:val="24"/>
                <w:szCs w:val="24"/>
              </w:rPr>
            </w:pPr>
            <w:r w:rsidRPr="00B60CDA">
              <w:rPr>
                <w:sz w:val="24"/>
                <w:szCs w:val="24"/>
              </w:rPr>
              <w:br/>
            </w:r>
            <w:r w:rsidRPr="00B60CDA">
              <w:rPr>
                <w:b/>
                <w:sz w:val="24"/>
                <w:szCs w:val="24"/>
              </w:rPr>
              <w:t xml:space="preserve">IEBILDUMS </w:t>
            </w:r>
            <w:r w:rsidRPr="00B60CDA">
              <w:rPr>
                <w:sz w:val="24"/>
                <w:szCs w:val="24"/>
              </w:rPr>
              <w:t>par noteikumu projekta “Kritēriji un kārtība, kādā valsts piedalās pedagogu darba samaksas finansēšanā vispārējās pamatizglītības un vispārējās vidējās izglītības pakāpē” 3.9. punktu (15. grupas definējumu)</w:t>
            </w:r>
            <w:r w:rsidRPr="00B60CDA">
              <w:rPr>
                <w:sz w:val="24"/>
                <w:szCs w:val="24"/>
              </w:rPr>
              <w:br/>
              <w:t>Alternatīvo skolu asociācija” (turpmāk – Asociācija) izsaka iebildumu pret noteikumu projekta  3.9.punktā noteikto 15.grupas definējumu. </w:t>
            </w:r>
            <w:r w:rsidRPr="00B60CDA">
              <w:rPr>
                <w:sz w:val="24"/>
                <w:szCs w:val="24"/>
              </w:rPr>
              <w:br/>
            </w:r>
            <w:r w:rsidRPr="00B60CDA">
              <w:rPr>
                <w:sz w:val="24"/>
                <w:szCs w:val="24"/>
              </w:rPr>
              <w:br/>
              <w:t xml:space="preserve">Esošajā redakcijā alternatīvās pedagoģijas jēdziens tiek nepamatoti sašaurināts, attiecinot to tikai uz Montesori vai Valdorfa pedagoģijām. Šāds regulējums ir diskriminējošs attiecībā uz citām   akreditētajām alternatīvajām skolām, kas īsteno citas alternatīvās pedagoģijas pieejas vai vairāku metožu kombinācijas, neraugoties uz to, ka tās darbojas valsts uzraudzībā un īsteno valsts noteiktos izglītības standartus. Tādējādi tām tiek </w:t>
            </w:r>
            <w:r w:rsidRPr="00B60CDA">
              <w:rPr>
                <w:sz w:val="24"/>
                <w:szCs w:val="24"/>
              </w:rPr>
              <w:lastRenderedPageBreak/>
              <w:t>liegta vienlīdzīga attieksme valsts finansējuma piešķiršanā. </w:t>
            </w:r>
            <w:r w:rsidRPr="00B60CDA">
              <w:rPr>
                <w:sz w:val="24"/>
                <w:szCs w:val="24"/>
              </w:rPr>
              <w:br/>
            </w:r>
            <w:r w:rsidRPr="00B60CDA">
              <w:rPr>
                <w:sz w:val="24"/>
                <w:szCs w:val="24"/>
              </w:rPr>
              <w:br/>
              <w:t>Alternatīvās skolas Latvijā ir sabiedrības iniciatīva, kas nodrošina individuāli pielāgotu izglītību bērniem, kuriem klasiskās izglītības metodes nav bijušas piemērotas. Praksē valsts un pašvaldību skolām ne vienmēr ir pietiekami resursu, lai pilnā apjomā nodrošinātu šādu bērnu vajadzības, savukārt alternatīvās privātskolas, bieži darbojoties arī bezpeļņas un sociālās uzņēmējdarbības modeļos, šo slogu daļēji uzņemas uz sevi, tādējādi papildinot valsts izglītības sistēmu.</w:t>
            </w:r>
            <w:r w:rsidRPr="00B60CDA">
              <w:rPr>
                <w:sz w:val="24"/>
                <w:szCs w:val="24"/>
              </w:rPr>
              <w:br/>
            </w:r>
            <w:r w:rsidRPr="00B60CDA">
              <w:rPr>
                <w:sz w:val="24"/>
                <w:szCs w:val="24"/>
              </w:rPr>
              <w:br/>
              <w:t>Saskaņā ar Izglītības likuma 55. panta pirmo punktu ikvienam izglītojamajam ir tiesības uz valsts vai pašvaldības apmaksātu izglītību, savukārt Izglītības likuma 57. panta pirmais punkts paredz vecāku tiesības izvēlēties izglītības iestādi bērna izglītošanai. Līdz ar to valstij ir pienākums nodrošināt vienlīdzīgu un nediskriminējošu attieksmi pret visām akreditētajām izglītības iestādēm neatkarīgi no to dibinātāja vai izmantotās pedagoģiskās pieejas.</w:t>
            </w:r>
            <w:r w:rsidRPr="00B60CDA">
              <w:rPr>
                <w:sz w:val="24"/>
                <w:szCs w:val="24"/>
              </w:rPr>
              <w:br/>
            </w:r>
            <w:r w:rsidRPr="00B60CDA">
              <w:rPr>
                <w:sz w:val="24"/>
                <w:szCs w:val="24"/>
              </w:rPr>
              <w:br/>
              <w:t xml:space="preserve">Asociācijas skolu mācību process nebalstās tikai uz vienu pedagoģisko metodi, bet tiek veidots, kombinējot dažādas pieejas atbilstoši skolēnu individuālajām vajadzībām, tostarp holistisko pieeju personības attīstībā, brīvdabas pedagoģiju, latvisko dzīvesziņu, pieredzē balstītu mācīšanos, principu </w:t>
            </w:r>
            <w:r w:rsidRPr="00B60CDA">
              <w:rPr>
                <w:sz w:val="24"/>
                <w:szCs w:val="24"/>
              </w:rPr>
              <w:lastRenderedPageBreak/>
              <w:t>“skolēns māca skolēnu”, vides estētikas skolas metodes, apzinātības praksi, ūdensglāžu matemātikas metodi, kā arī atsevišķus Valdorfa un Montesori pedagoģijas elementus. Tieši šāda elastīga un bērna vajadzībām atbilstoša metožu kombinācija ir individuāli pielāgotas izglītības būtība. </w:t>
            </w:r>
            <w:r w:rsidRPr="00B60CDA">
              <w:rPr>
                <w:sz w:val="24"/>
                <w:szCs w:val="24"/>
              </w:rPr>
              <w:br/>
            </w:r>
            <w:r w:rsidRPr="00B60CDA">
              <w:rPr>
                <w:sz w:val="24"/>
                <w:szCs w:val="24"/>
              </w:rPr>
              <w:br/>
              <w:t>Mūsdienu izglītības teorijā un starptautiskajā izglītības politikas diskursā jēdziens “alternatīvā izglītības metodoloģija” aptver plašāku pieeju loku nekā tikai vēsturiski izveidotas pedagoģiskās skolas, piemēram, Valdorfa vai Montesori izglītību. Tas ietver uz skolēnu vērstas, sadarbībā un pētniecībā balstītas mācību procesa organizācijas pieejas, tostarp projektos balstītu mācīšanos, starpdisciplināru mācību organizāciju, kompetenču pieejas padziļinātu īstenošanu un iekļaujošas izglītības modeļus. Šīs pieejas nav balstītas konkrētā ideoloģijā, bet gan mācību procesa organizācijas principos, kas tiek attīstīti, reaģējot uz mūsdienu sabiedrības, darba tirgus un skolēnu daudzveidības vajadzībām. Līdz ar to alternatīvās pedagoģijas jēdziena sašaurināšana tikai līdz divām metodēm nav pamatota ne pedagoģiski, ne izglītības politikas ziņā.</w:t>
            </w:r>
            <w:r w:rsidRPr="00B60CDA">
              <w:rPr>
                <w:sz w:val="24"/>
                <w:szCs w:val="24"/>
              </w:rPr>
              <w:br/>
            </w:r>
            <w:r w:rsidRPr="00B60CDA">
              <w:rPr>
                <w:sz w:val="24"/>
                <w:szCs w:val="24"/>
              </w:rPr>
              <w:br/>
              <w:t xml:space="preserve">Asociācijas skolas ir akreditētas, darbojas vairāk nekā 10 gadus un šobrīd nodrošina alternatīvu izglītību aptuveni 430 bērniem. Daudziem no šiem bērniem klasiskās pedagoģijas metodes nav bijušas </w:t>
            </w:r>
            <w:r w:rsidRPr="00B60CDA">
              <w:rPr>
                <w:sz w:val="24"/>
                <w:szCs w:val="24"/>
              </w:rPr>
              <w:lastRenderedPageBreak/>
              <w:t>piemērotas, un mazāks skolēnu skaits klasē ir fundamentāla nepieciešamība, lai nodrošinātu viņu tiesības uz piemērotu izglītību. Šādas tiesības izriet no Latvijas Republikas Satversmes 112.panta, kas nosaka tiesības uz izglītību, un Bērnu tiesību aizsardzības likuma 6.pantam, kurā noteikts, ka bērna tiesības un intereses ir prioritāras.</w:t>
            </w:r>
            <w:r w:rsidRPr="00B60CDA">
              <w:rPr>
                <w:sz w:val="24"/>
                <w:szCs w:val="24"/>
              </w:rPr>
              <w:br/>
            </w:r>
            <w:r w:rsidRPr="00B60CDA">
              <w:rPr>
                <w:sz w:val="24"/>
                <w:szCs w:val="24"/>
              </w:rPr>
              <w:br/>
              <w:t>Noteikumu projekta 3.9. punktā ietvertais sašaurinātais alternatīvās pedagoģijas definējums rada situāciju, kurā privātās alternatīvās skolas, kas neīsteno tieši Montesori vai Valdorfa pedagoģiju, nesaņem pilnu valsts finansējumu pedagogu darba samaksai. Mazām alternatīvajām skolām šāds finansējuma samazinājums var būt izšķirošs un apdraudēt to pastāvēšanu kopumā, neraugoties uz to, ka šīs skolas ir akreditētas, darbojas valsts uzraudzībā un nodrošina valsts izglītības standartu sasniegšanu.</w:t>
            </w:r>
            <w:r w:rsidRPr="00B60CDA">
              <w:rPr>
                <w:sz w:val="24"/>
                <w:szCs w:val="24"/>
              </w:rPr>
              <w:br/>
            </w:r>
            <w:r w:rsidRPr="00B60CDA">
              <w:rPr>
                <w:sz w:val="24"/>
                <w:szCs w:val="24"/>
              </w:rPr>
              <w:br/>
              <w:t>Rezultātā pastāv risks, ka ar šo regulējumu netieši tiek ierobežotas vecāku tiesības izvēlēties bērnam piemērotāko izglītības iestādi, kā arī samazināta izglītības sistēmas daudzveidība, kas ir būtisks priekšnoteikums iekļaujošas un uz bērna interesēm vērstas izglītības nodrošināšanai.</w:t>
            </w:r>
            <w:r w:rsidRPr="00B60CDA">
              <w:rPr>
                <w:sz w:val="24"/>
                <w:szCs w:val="24"/>
              </w:rPr>
              <w:br/>
            </w:r>
            <w:r w:rsidRPr="00B60CDA">
              <w:rPr>
                <w:sz w:val="24"/>
                <w:szCs w:val="24"/>
              </w:rPr>
              <w:br/>
              <w:t>Ņemot vērā minēto, Asociācija aicina:</w:t>
            </w:r>
            <w:r w:rsidRPr="00B60CDA">
              <w:rPr>
                <w:sz w:val="24"/>
                <w:szCs w:val="24"/>
              </w:rPr>
              <w:br/>
              <w:t>1. Nepamatoti nesašaurināt alternatīvās pedagoģijas jēdzienu, attiecinot to tikai uz Montesori un Valdorfa pedagoģijām;</w:t>
            </w:r>
            <w:r w:rsidRPr="00B60CDA">
              <w:rPr>
                <w:sz w:val="24"/>
                <w:szCs w:val="24"/>
              </w:rPr>
              <w:br/>
            </w:r>
            <w:r w:rsidRPr="00B60CDA">
              <w:rPr>
                <w:sz w:val="24"/>
                <w:szCs w:val="24"/>
              </w:rPr>
              <w:lastRenderedPageBreak/>
              <w:t>2. Definēt alternatīvo pedagoģiju plašāk, iekļaujot arī citas akreditētas, uz skolēna vajadzībām vērstas pedagoģiskās pieejas un to kombinācijas;</w:t>
            </w:r>
            <w:r w:rsidRPr="00B60CDA">
              <w:rPr>
                <w:sz w:val="24"/>
                <w:szCs w:val="24"/>
              </w:rPr>
              <w:br/>
              <w:t>3. Paredzēt iespēju atzīt alternatīvus izglītības modeļus, kuru īstenošanai objektīvi nepieciešami atšķirīgi resursu nosacījumi.</w:t>
            </w:r>
            <w:r w:rsidRPr="00B60CDA">
              <w:rPr>
                <w:sz w:val="24"/>
                <w:szCs w:val="24"/>
              </w:rPr>
              <w:br/>
            </w:r>
            <w:r w:rsidRPr="00B60CDA">
              <w:rPr>
                <w:sz w:val="24"/>
                <w:szCs w:val="24"/>
              </w:rPr>
              <w:br/>
              <w:t>Šāds risinājums nodrošinātu nediskriminējošu attieksmi, saglabātu izglītības sistēmas daudzveidību un veicinātu bērnu tiesību uz piemērotu izglītību īstenošanu praksē.</w:t>
            </w:r>
            <w:r w:rsidRPr="00B60CDA">
              <w:rPr>
                <w:sz w:val="24"/>
                <w:szCs w:val="24"/>
              </w:rPr>
              <w:br/>
            </w:r>
            <w:r w:rsidRPr="00B60CDA">
              <w:rPr>
                <w:sz w:val="24"/>
                <w:szCs w:val="24"/>
              </w:rPr>
              <w:br/>
            </w:r>
            <w:r w:rsidRPr="00B60CDA">
              <w:rPr>
                <w:b/>
                <w:sz w:val="24"/>
                <w:szCs w:val="24"/>
              </w:rPr>
              <w:t>Piedāvātā 3.9. punkta redakcija“15. grupa – izglītības iestādes, kurās mācību process tiek organizēts, izmantojot alternatīvās pedagoģijas pieejas vai to kombinācijas, tostarp, bet ne tikai, Montesori vai Valdorfa pedagoģiju, un kuras Izglītības un zinātnes ministrijai ir iesniegušas mācību procesa organizācijas aprakstu, norādot izmantotās pedagoģiskās pieejas un to atbilstību izglītības programmas mērķiem un valsts izglītības standartiem.”</w:t>
            </w:r>
            <w:r w:rsidRPr="00B60CDA">
              <w:rPr>
                <w:sz w:val="24"/>
                <w:szCs w:val="24"/>
              </w:rPr>
              <w:br/>
            </w:r>
          </w:p>
        </w:tc>
        <w:tc>
          <w:tcPr>
            <w:tcW w:w="1650" w:type="dxa"/>
            <w:shd w:val="clear" w:color="auto" w:fill="FFFFFF"/>
            <w:noWrap/>
            <w:tcMar>
              <w:top w:w="75" w:type="dxa"/>
              <w:left w:w="75" w:type="dxa"/>
              <w:bottom w:w="75" w:type="dxa"/>
              <w:right w:w="75" w:type="dxa"/>
            </w:tcMar>
          </w:tcPr>
          <w:p w14:paraId="1B71C72C" w14:textId="59327FE3" w:rsidR="00B93717" w:rsidRPr="00B60CDA" w:rsidRDefault="006540C3" w:rsidP="0089150E">
            <w:pPr>
              <w:jc w:val="center"/>
              <w:rPr>
                <w:sz w:val="24"/>
                <w:szCs w:val="24"/>
              </w:rPr>
            </w:pPr>
            <w:r w:rsidRPr="00B60CDA">
              <w:rPr>
                <w:sz w:val="24"/>
                <w:szCs w:val="24"/>
              </w:rPr>
              <w:lastRenderedPageBreak/>
              <w:t>Nav ņemts vērā</w:t>
            </w:r>
          </w:p>
        </w:tc>
        <w:tc>
          <w:tcPr>
            <w:tcW w:w="4056" w:type="dxa"/>
            <w:shd w:val="clear" w:color="auto" w:fill="FFFFFF"/>
            <w:noWrap/>
            <w:tcMar>
              <w:top w:w="75" w:type="dxa"/>
              <w:left w:w="75" w:type="dxa"/>
              <w:bottom w:w="75" w:type="dxa"/>
              <w:right w:w="75" w:type="dxa"/>
            </w:tcMar>
          </w:tcPr>
          <w:p w14:paraId="444263D3" w14:textId="77777777" w:rsidR="006540C3" w:rsidRPr="00B60CDA" w:rsidRDefault="006540C3" w:rsidP="0089150E">
            <w:pPr>
              <w:jc w:val="left"/>
              <w:rPr>
                <w:sz w:val="24"/>
                <w:szCs w:val="24"/>
              </w:rPr>
            </w:pPr>
            <w:r w:rsidRPr="00B60CDA">
              <w:rPr>
                <w:sz w:val="24"/>
                <w:szCs w:val="24"/>
              </w:rPr>
              <w:t>Regulējumā paredzēta Montesori un Valdorfa pedagoģijas atzīšana, jo tās Latvijā ir institucionalizētas, ar skaidru starptautisku pārstāvniecību un pārbaudāmu kvalitātes nodrošināšanas sistēmu. Abām pieejām pastāv starptautiskas asociācijas un metodiskie ietvari, kas ļauj objektīvi izvērtēt, vai izglītības iestādē mācību process tiek īstenots atbilstoši konkrētās pedagoģijas principiem visā izglītības iestādē. Papildus tam Montesori un Valdorfa pedagoģijas principi Latvijā tiek apgūti arī pedagogu profesionālās sagatavošanas izglītības programmās, nodrošinot šo pieeju pēctecību pedagogu izglītībā un profesionālajā pilnveidē.</w:t>
            </w:r>
          </w:p>
          <w:p w14:paraId="41FC69F2" w14:textId="77777777" w:rsidR="006540C3" w:rsidRPr="00B60CDA" w:rsidRDefault="006540C3" w:rsidP="0089150E">
            <w:pPr>
              <w:jc w:val="left"/>
              <w:rPr>
                <w:sz w:val="24"/>
                <w:szCs w:val="24"/>
              </w:rPr>
            </w:pPr>
            <w:r w:rsidRPr="00B60CDA">
              <w:rPr>
                <w:sz w:val="24"/>
                <w:szCs w:val="24"/>
              </w:rPr>
              <w:t xml:space="preserve">Savukārt citas alternatīvās pedagoģijas pasaulē pastāv kā pedagoģiskas pieejas, </w:t>
            </w:r>
            <w:r w:rsidRPr="00B60CDA">
              <w:rPr>
                <w:sz w:val="24"/>
                <w:szCs w:val="24"/>
              </w:rPr>
              <w:lastRenderedPageBreak/>
              <w:t>taču Latvijā tām nav vienotas normatīvi atzītas pārstāvniecības, sertifikācijas mehānisma, institucionāli nostiprināta kvalitātes izvērtēšanas procesa vai integrācijas pedagogu sagatavošanas sistēmā. Līdz ar to nav objektīva un vienoti piemērojama kritēriju kopuma, pēc kura valsts varētu pārbaudīt šādu pieeju atbilstību.</w:t>
            </w:r>
          </w:p>
          <w:p w14:paraId="0B795005" w14:textId="77777777" w:rsidR="006540C3" w:rsidRPr="00B60CDA" w:rsidRDefault="006540C3" w:rsidP="0089150E">
            <w:pPr>
              <w:jc w:val="left"/>
              <w:rPr>
                <w:sz w:val="24"/>
                <w:szCs w:val="24"/>
              </w:rPr>
            </w:pPr>
            <w:r w:rsidRPr="00B60CDA">
              <w:rPr>
                <w:sz w:val="24"/>
                <w:szCs w:val="24"/>
              </w:rPr>
              <w:t>Normatīvā regulējuma līmenī izņēmumu piemērošana var balstīties tikai uz skaidri identificējamiem un pārbaudāmiem mehānismiem. Paplašinot regulējumu uz jebkuru “starptautiski atzītu alternatīvo pedagoģiju”, rastos interpretācijas risks un nevienlīdzīga piemērošana praksē, jo nebūtu vienotu kritēriju atzinuma sniegšanai. Tādēļ regulējumā ir saglabātas tikai tās pedagoģijas, kurām Latvijā pastāv institucionāli nostiprināta pārstāvība un objektīvi pārbaudāma atbilstības sistēma.</w:t>
            </w:r>
          </w:p>
          <w:p w14:paraId="76F2B4A7" w14:textId="47FF80E5" w:rsidR="00B93717" w:rsidRPr="00B60CDA" w:rsidRDefault="006540C3" w:rsidP="0089150E">
            <w:pPr>
              <w:jc w:val="left"/>
              <w:rPr>
                <w:sz w:val="24"/>
                <w:szCs w:val="24"/>
              </w:rPr>
            </w:pPr>
            <w:r w:rsidRPr="00B60CDA">
              <w:rPr>
                <w:sz w:val="24"/>
                <w:szCs w:val="24"/>
              </w:rPr>
              <w:t>Vienlaikus regulējums neaizliedz citu pedagoģisko pieeju izmantošanu — tas nosaka valsts līdzfinansējuma piešķiršanas kārtību. Izglītības iestādes var turpināt attīstīt dažādus pedagoģiskus modeļus.</w:t>
            </w:r>
          </w:p>
        </w:tc>
      </w:tr>
      <w:tr w:rsidR="00B93717" w:rsidRPr="00B60CDA" w14:paraId="799ED3E4" w14:textId="77777777" w:rsidTr="0089150E">
        <w:tc>
          <w:tcPr>
            <w:tcW w:w="750" w:type="dxa"/>
            <w:shd w:val="clear" w:color="auto" w:fill="FFFFFF"/>
            <w:noWrap/>
            <w:tcMar>
              <w:top w:w="75" w:type="dxa"/>
              <w:left w:w="75" w:type="dxa"/>
              <w:bottom w:w="75" w:type="dxa"/>
              <w:right w:w="75" w:type="dxa"/>
            </w:tcMar>
            <w:vAlign w:val="center"/>
          </w:tcPr>
          <w:p w14:paraId="7C447F88" w14:textId="77777777" w:rsidR="00B93717" w:rsidRPr="00B60CDA" w:rsidRDefault="00000000">
            <w:pPr>
              <w:jc w:val="center"/>
              <w:rPr>
                <w:sz w:val="24"/>
                <w:szCs w:val="24"/>
              </w:rPr>
            </w:pPr>
            <w:r w:rsidRPr="00B60CDA">
              <w:rPr>
                <w:sz w:val="24"/>
                <w:szCs w:val="24"/>
              </w:rPr>
              <w:lastRenderedPageBreak/>
              <w:t>2.</w:t>
            </w:r>
          </w:p>
        </w:tc>
        <w:tc>
          <w:tcPr>
            <w:tcW w:w="2930" w:type="dxa"/>
            <w:shd w:val="clear" w:color="auto" w:fill="FFFFFF"/>
            <w:noWrap/>
            <w:tcMar>
              <w:top w:w="75" w:type="dxa"/>
              <w:left w:w="75" w:type="dxa"/>
              <w:bottom w:w="75" w:type="dxa"/>
              <w:right w:w="75" w:type="dxa"/>
            </w:tcMar>
            <w:vAlign w:val="center"/>
          </w:tcPr>
          <w:p w14:paraId="6ADD7D7D" w14:textId="77777777" w:rsidR="00B93717" w:rsidRPr="00B60CDA" w:rsidRDefault="00000000">
            <w:pPr>
              <w:jc w:val="left"/>
              <w:rPr>
                <w:sz w:val="24"/>
                <w:szCs w:val="24"/>
              </w:rPr>
            </w:pPr>
            <w:r w:rsidRPr="00B60CDA">
              <w:rPr>
                <w:sz w:val="24"/>
                <w:szCs w:val="24"/>
              </w:rPr>
              <w:t>Atašienes kopienas attīstības biedrība, Laura Stalīdzāne</w:t>
            </w:r>
          </w:p>
        </w:tc>
        <w:tc>
          <w:tcPr>
            <w:tcW w:w="5181" w:type="dxa"/>
            <w:shd w:val="clear" w:color="auto" w:fill="FFFFFF"/>
            <w:noWrap/>
            <w:tcMar>
              <w:top w:w="75" w:type="dxa"/>
              <w:left w:w="75" w:type="dxa"/>
              <w:bottom w:w="75" w:type="dxa"/>
              <w:right w:w="75" w:type="dxa"/>
            </w:tcMar>
            <w:vAlign w:val="center"/>
          </w:tcPr>
          <w:p w14:paraId="4E2412A1" w14:textId="77777777" w:rsidR="00B93717" w:rsidRPr="00B60CDA" w:rsidRDefault="00000000">
            <w:pPr>
              <w:jc w:val="left"/>
              <w:rPr>
                <w:sz w:val="24"/>
                <w:szCs w:val="24"/>
              </w:rPr>
            </w:pPr>
            <w:r w:rsidRPr="00B60CDA">
              <w:rPr>
                <w:b/>
                <w:sz w:val="24"/>
                <w:szCs w:val="24"/>
              </w:rPr>
              <w:t>IEBILDUMS</w:t>
            </w:r>
            <w:r w:rsidRPr="00B60CDA">
              <w:rPr>
                <w:sz w:val="24"/>
                <w:szCs w:val="24"/>
              </w:rPr>
              <w:br/>
              <w:t xml:space="preserve">Normatīvā akta projekta 3. pielikumā uzskaitītas skolas, kuras atbilstoši anotācijas 5. sadaļas c. punktā minētajiem kritērijiem, noteiktas kā izglītības iestādes ar augstu pieejamības risku. Norādām, ka šo izglītības iestāžu sarakstu nepieciešams papildināt ar Sūnu pamatskolas izglītības programmu īstenošanas vietu Atašiene, </w:t>
            </w:r>
            <w:r w:rsidRPr="00B60CDA">
              <w:rPr>
                <w:sz w:val="24"/>
                <w:szCs w:val="24"/>
              </w:rPr>
              <w:lastRenderedPageBreak/>
              <w:t>kas atrodas Jēkabpils novadā. Faktiskais ceļā pavadītais laiks pārsniedz šī tiesību akta anotācijā noteiktās 30 minūtes, kas izglītojamajam jāpavada ceļā līdz tuvākai izglītības iestādei, kas šajā gadījumā ir Sūnu pamatskola. Norādām, ka mazāk kā 30 minūtēs var iekļauties tikai tādā gadījumā, ja šo ceļu mēro vasarā, ideālos braukšanas apstākļos, pie nosacījuma, ka maršruts tiek veikts tikai no punkta A līdz punktam B, neņemot vērā faktus, ka patiesais izglītojamo ceļš uz izglītības iestādi no sākumpunkta līdz tuvākajai izglītības iestādei patiesībā aizņem kā minimums 1,2 h. Pašreizējā situācijā kopējais izglītojamo pārvadāšanas laiks no dzīvesvietas līdz Sūnu pamatskolas izglītības programmu īstenošanas vietai Atašiene aizņem jau 1,3 stundas (pārvadājums pašlaik tiek organizēts kā divi atsevišķi maršruti).</w:t>
            </w:r>
            <w:r w:rsidRPr="00B60CDA">
              <w:rPr>
                <w:sz w:val="24"/>
                <w:szCs w:val="24"/>
              </w:rPr>
              <w:br/>
            </w:r>
            <w:r w:rsidRPr="00B60CDA">
              <w:rPr>
                <w:sz w:val="24"/>
                <w:szCs w:val="24"/>
              </w:rPr>
              <w:br/>
              <w:t xml:space="preserve">Izglītojamie nedzīvo tikai ciemata teritorijā, bet visā Atašienes pagasta teritorijā, kas ir 24300 ha. Tāpat pagasta teritorijā esošais ceļu tīkls ir ar dažādu segumu un atsevišķi posmi ir grūti izbraucami, un to izbraukšanai nevar piemērot maksimālo pieļaujamo braukšanas ātrumu. Tāpat nekorekti ir vērtēt tikai tieši ceļā pavadīto laiku, jo šīs izglītības iestādes gadījumā, jau šobrīd ir paredzams, ka būs vairāki pieturas punkti, kuros būs nepieciešams apstāties, lai pa ceļam paņemtu blakus pagasta – Mežāres –, izglītojamos (viņi jau šobrīd mācās Sūnu pamatskolā). Pašreizējā situācijā Atašienes pagasta izglītojamie būs spiesti ceļā uz Sūnu </w:t>
            </w:r>
            <w:r w:rsidRPr="00B60CDA">
              <w:rPr>
                <w:sz w:val="24"/>
                <w:szCs w:val="24"/>
              </w:rPr>
              <w:lastRenderedPageBreak/>
              <w:t>pamatskolu pavadīt ievērojami lielāku laiku, kas nozīmē, ka izglītojamajiem ievērojami tiks pagarināts dienas ilgums un tiks radīta nesamērīga slodze, it īpaši sākumskolas vecuma bērniem. Šāds ikdienas pārbrauciens ietekmē bērnu spējas pilnvērtīgi piedalīties mācību procesā un ārpusklases aktivitātēs.</w:t>
            </w:r>
            <w:r w:rsidRPr="00B60CDA">
              <w:rPr>
                <w:sz w:val="24"/>
                <w:szCs w:val="24"/>
              </w:rPr>
              <w:br/>
            </w:r>
            <w:r w:rsidRPr="00B60CDA">
              <w:rPr>
                <w:sz w:val="24"/>
                <w:szCs w:val="24"/>
              </w:rPr>
              <w:br/>
              <w:t>Īpaši jāuzsver, ka Sūnu pamatskolas izglītības programmu īstenošanas vietā Atašiene īsteno iekļaujošu izglītības pieeju, nodrošinot mācību procesu izglītojamiem ar dažādām individuālām mācīšanās vajadzībām, tostarp izglītojamiem ar mācīšanās grūtībām. Šādiem izglītojamajiem īpaši nozīmīga ir stabila, pazīstama vide, individualizēta pieeja un cieša sadarbība ar ģimeni, ko būtiski apgrūtina ilgstoša ikdienas nokļūšana uz tālu izglītības iestādi. Kā vēl viens nozīmīgs aspekts – tiek nodrošinātas iespējas medicīnas darbinieku (psihiatru, psihologu) sniegtās rekomendācijas, izglītojamiem nodrošināt mācīšanās iespējas nelielās klasēs – līdz 10 izglītojamajiem.</w:t>
            </w:r>
            <w:r w:rsidRPr="00B60CDA">
              <w:rPr>
                <w:sz w:val="24"/>
                <w:szCs w:val="24"/>
              </w:rPr>
              <w:br/>
              <w:t xml:space="preserve">Saskaņā ar ANO Bērnu tiesību konvenciju un Latvijas Republikas Satversmes 112. pantu valstij ir pienākums nodrošināt ikvienam bērnam pieejamu un kvalitatīvu izglītību. Izglītības likumā un Bērnu tiesību aizsardzības likumā ir noteikts, ka izglītības sistēmas uzdevums ir nodrošināt ikvienam bērnam iespēju iegūt izglītību atbilstoši viņa spējām un vajadzībām, ievērojot bērna labākās intereses. Minētie apstākļi apliecina, ka Sūnu pamatskolas </w:t>
            </w:r>
            <w:r w:rsidRPr="00B60CDA">
              <w:rPr>
                <w:sz w:val="24"/>
                <w:szCs w:val="24"/>
              </w:rPr>
              <w:lastRenderedPageBreak/>
              <w:t>izglītības programmu īstenošanas vietas Atašiene nozīme izglītības pieejamības nodrošināšanā konkrētajā teritorijā ir būtiska un tuvākās skolas – Sūnu pamatskolas – sasniegšanu nav iespējams nodrošināt laika nogrieznī līdz 30 minūtēm.</w:t>
            </w:r>
            <w:r w:rsidRPr="00B60CDA">
              <w:rPr>
                <w:sz w:val="24"/>
                <w:szCs w:val="24"/>
              </w:rPr>
              <w:br/>
            </w:r>
            <w:r w:rsidRPr="00B60CDA">
              <w:rPr>
                <w:sz w:val="24"/>
                <w:szCs w:val="24"/>
              </w:rPr>
              <w:br/>
              <w:t>Papildus būtiski uzsvērt, ka Sūnu pamatskolas izglītības programmu īstenošanas vieta Atašiene nodrošina izglītības pieejamību bērniem, kuri dzīvo novada robežteritorijā, kā arī bērniem no blakus novadiem, piemēram, Madonas novada, kur alternatīvu izglītības iestāžu izvēle ir ierobežota. Līdz ar to skola faktiski pilda plašāku, starpnovadu pieejamības funkciju, nodrošinot mācīšanās iespējas bērniem, neatkarīgi no administratīvajām robežām.</w:t>
            </w:r>
            <w:r w:rsidRPr="00B60CDA">
              <w:rPr>
                <w:sz w:val="24"/>
                <w:szCs w:val="24"/>
              </w:rPr>
              <w:br/>
            </w:r>
            <w:r w:rsidRPr="00B60CDA">
              <w:rPr>
                <w:sz w:val="24"/>
                <w:szCs w:val="24"/>
              </w:rPr>
              <w:br/>
              <w:t>Normatīvā akta projekta anotācijā norādīts, ka ilgtspējīga izglītības iestāžu tīkla veidošanā Izglītības un zinātnes ministrija definē piecus principus. Kā viens no tiem ir noteiktais urbanizācijas līmenis administratīvi teritoriālajām vienībām. Šī principa noteikšanai izmantota Eurostat DEGURBA klasifikācija.</w:t>
            </w:r>
            <w:r w:rsidRPr="00B60CDA">
              <w:rPr>
                <w:sz w:val="24"/>
                <w:szCs w:val="24"/>
              </w:rPr>
              <w:br/>
            </w:r>
            <w:r w:rsidRPr="00B60CDA">
              <w:rPr>
                <w:sz w:val="24"/>
                <w:szCs w:val="24"/>
              </w:rPr>
              <w:br/>
              <w:t>Norādām, ka Eiropā pastāv liels skaits mazo skolu, kur bērnu skaits ir mazāks par 50, līdz ar to izteiktais viedoklis par neefektivitāti, skolu līmeni, utml., neatbilst reālajai situācijai vairākās no Eiropas valstīm – ir valstis, kur tas ir pieņemami.  Skolu tīkla uzturēšana laukos nav ‘bizness’ – tā ir pieejamības politika.</w:t>
            </w:r>
            <w:r w:rsidRPr="00B60CDA">
              <w:rPr>
                <w:sz w:val="24"/>
                <w:szCs w:val="24"/>
              </w:rPr>
              <w:br/>
            </w:r>
            <w:r w:rsidRPr="00B60CDA">
              <w:rPr>
                <w:sz w:val="24"/>
                <w:szCs w:val="24"/>
              </w:rPr>
              <w:lastRenderedPageBreak/>
              <w:br/>
              <w:t>Eurydice (Eiropas Komisijas/EACEA izglītības datu platforma) par Čehiju norāda, ka 27.7 % pamatskolu Čehijā ir ar mazāk nekā 50 skolēniem. Turklāt Čehijā likumdošana ļauj veidot skolas, kurām nav visi klašu posmi, un izmantot apvienotās klases, lai nodrošinātu pieejamību mazās pašvaldībās. (https://eurydice.eacea.ec.europa.eu/eurypedia/czechia/organisation-single-structure-education).</w:t>
            </w:r>
            <w:r w:rsidRPr="00B60CDA">
              <w:rPr>
                <w:sz w:val="24"/>
                <w:szCs w:val="24"/>
              </w:rPr>
              <w:br/>
            </w:r>
            <w:r w:rsidRPr="00B60CDA">
              <w:rPr>
                <w:sz w:val="24"/>
                <w:szCs w:val="24"/>
              </w:rPr>
              <w:br/>
              <w:t>Lielisks piemērs Austrija, minēts, ka 15 % lauku pamatskolu ir ar &lt; 50 skolēniem (un ~6 % pat ar &lt; 20). Austrijā pieejamība laukos ir prioritāte, pat ja tas ir dārgāk nekā “optimizācija” (https://www.sciencedirect.com/science/article/pii/S0883035525003179).</w:t>
            </w:r>
            <w:r w:rsidRPr="00B60CDA">
              <w:rPr>
                <w:sz w:val="24"/>
                <w:szCs w:val="24"/>
              </w:rPr>
              <w:br/>
            </w:r>
            <w:r w:rsidRPr="00B60CDA">
              <w:rPr>
                <w:sz w:val="24"/>
                <w:szCs w:val="24"/>
              </w:rPr>
              <w:br/>
              <w:t>Francijas sistēma lauku teritorijās paredz skolas pieejamību pat pie ļoti maza bērnu skaita. Tiek uzturētas skolas ar bērnu skaitu pat ap 15. Plānojot tiek ņemtas vērā ne vien konkrētas pašvaldības, bet arī blakus esošo pašvaldību intereses. (https://eurydice.eacea.ec.europa.eu/eurypedia/france/organisation-primary-education).</w:t>
            </w:r>
            <w:r w:rsidRPr="00B60CDA">
              <w:rPr>
                <w:sz w:val="24"/>
                <w:szCs w:val="24"/>
              </w:rPr>
              <w:br/>
            </w:r>
            <w:r w:rsidRPr="00B60CDA">
              <w:rPr>
                <w:sz w:val="24"/>
                <w:szCs w:val="24"/>
              </w:rPr>
              <w:br/>
              <w:t xml:space="preserve">Šie ir tikai daži piemēri no Eiropas Savienības valstu praksēm. Balstoties uz iepriekš norādīto, iebilstam, ka normatīvā akta projektā, ka viens no pamatkritērijiem tiek izmantota metode, kas vairākās Eiropas Savienības valstīs netiek pielietota </w:t>
            </w:r>
            <w:r w:rsidRPr="00B60CDA">
              <w:rPr>
                <w:sz w:val="24"/>
                <w:szCs w:val="24"/>
              </w:rPr>
              <w:lastRenderedPageBreak/>
              <w:t>un ir atzīta par neefektīvu skolu pieejamības plānošanā. Uzskatām, ka DEGURBA klasifikācijas piemērošana Latvijas skolām nav efektīva, lai veidotu kvalitatīvu skolu tīklu, kas vienlaikus sekmētu no pilsētām attālāko pagastu un ciemu attīstību un saglabāšanu.</w:t>
            </w:r>
            <w:r w:rsidRPr="00B60CDA">
              <w:rPr>
                <w:sz w:val="24"/>
                <w:szCs w:val="24"/>
              </w:rPr>
              <w:br/>
            </w:r>
            <w:r w:rsidRPr="00B60CDA">
              <w:rPr>
                <w:sz w:val="24"/>
                <w:szCs w:val="24"/>
              </w:rPr>
              <w:br/>
              <w:t>Līdz ar to lauku skolas reorganizācijas/slēgšanas izvērtējumā jāņem vērā, ka Eiropas Savienības valstīs skolu tīkla lēmumi lauku teritorijās tiek pieņemti, analizējot pieejamību un ietekmi uz teritorijas dzīvotspēju. Vienas skolas “iekšējie rādītāji” nevar būt vienīgais un izšķirošais pamats lēmumam, jo skolas pastāvēšana ir cieši saistīta ar pagasta attīstību, iedzīvotāju piesaisti un vienlīdzīgu izglītības iespēju nodrošināšanu.</w:t>
            </w:r>
            <w:r w:rsidRPr="00B60CDA">
              <w:rPr>
                <w:sz w:val="24"/>
                <w:szCs w:val="24"/>
              </w:rPr>
              <w:br/>
            </w:r>
            <w:r w:rsidRPr="00B60CDA">
              <w:rPr>
                <w:sz w:val="24"/>
                <w:szCs w:val="24"/>
              </w:rPr>
              <w:br/>
              <w:t>Skolas turpmākās pastāvēšanas un attīstības jautājumu nav pieļaujams vērtēt tikai pēc šauriem īstermiņa rādītājiem – skolēnu skaita, izmaksām uz vienu izglītojamo vai pedagogu slodžu organizācijas aspektiem. Šāda pieeja neatspoguļo izglītības iestādes patieso nozīmi lauku teritorijā un ir pretrunā ar mērķi nodrošināt izglītības pieejamību un vienlīdzīgas iespējas neatkarīgi no dzīvesvietas.</w:t>
            </w:r>
            <w:r w:rsidRPr="00B60CDA">
              <w:rPr>
                <w:sz w:val="24"/>
                <w:szCs w:val="24"/>
              </w:rPr>
              <w:br/>
              <w:t xml:space="preserve">Tāpat ir jāņem vērā, ka izglītības pieejamība ir ne tikai pakalpojuma nodrošināšana, bet arī reālas iespējas bērniem to saņemt bez nesamērīga apgrūtinājuma. Ja bērniem būtu jābrauc uz tālāku skolu, tas nozīmētu ilgāku ceļu, agrāku izbraukšanu, vēlāku atgriešanos mājās, mazāku </w:t>
            </w:r>
            <w:r w:rsidRPr="00B60CDA">
              <w:rPr>
                <w:sz w:val="24"/>
                <w:szCs w:val="24"/>
              </w:rPr>
              <w:lastRenderedPageBreak/>
              <w:t>iespēju piedalīties interešu izglītībā un ārpusstundu aktivitātēs, kā arī papildu riskus un stresu. Sevišķi būtiski tas ir jaunākā vecuma bērniem. Tas tieši ietekmē izglītības kvalitāti, bērna labsajūtu, sociālo iekļaušanu un ģimeņu ikdienas iespējas apvienot darbu ar bērna aprūpi.</w:t>
            </w:r>
            <w:r w:rsidRPr="00B60CDA">
              <w:rPr>
                <w:sz w:val="24"/>
                <w:szCs w:val="24"/>
              </w:rPr>
              <w:br/>
            </w:r>
            <w:r w:rsidRPr="00B60CDA">
              <w:rPr>
                <w:sz w:val="24"/>
                <w:szCs w:val="24"/>
              </w:rPr>
              <w:br/>
              <w:t>Ņemot vērā minētos apstākļus normatīvos aktus, citu valstu pieredzi, norādām, ka ir nepieciešams izvērtēt Sūnu pamatskolas izglītības programmu īstenošanas vietas Atašiene situāciju individuāli, ņemot vērā ne tikai kvantitatīvos rādītājus, bet arī faktisko pieejamību, faktisko izglītojamo ceļā pavadīto laiku un izglītojamo individuālās mācīšanās vajadzības plašākā – arī starpnovadu – kontekstā un Sūnu pamatskolas izglītības programmu īstenošanas vietu Atašiene noteikt kā izglītības iestādi ar augstu pieejamības risku.</w:t>
            </w:r>
          </w:p>
        </w:tc>
        <w:tc>
          <w:tcPr>
            <w:tcW w:w="1650" w:type="dxa"/>
            <w:shd w:val="clear" w:color="auto" w:fill="FFFFFF"/>
            <w:noWrap/>
            <w:tcMar>
              <w:top w:w="75" w:type="dxa"/>
              <w:left w:w="75" w:type="dxa"/>
              <w:bottom w:w="75" w:type="dxa"/>
              <w:right w:w="75" w:type="dxa"/>
            </w:tcMar>
          </w:tcPr>
          <w:p w14:paraId="58EB8BD2" w14:textId="520CD00C" w:rsidR="00B93717" w:rsidRPr="00B60CDA" w:rsidRDefault="0089150E" w:rsidP="0089150E">
            <w:pPr>
              <w:jc w:val="center"/>
              <w:rPr>
                <w:sz w:val="24"/>
                <w:szCs w:val="24"/>
              </w:rPr>
            </w:pPr>
            <w:r w:rsidRPr="00B60CDA">
              <w:rPr>
                <w:sz w:val="24"/>
                <w:szCs w:val="24"/>
              </w:rPr>
              <w:lastRenderedPageBreak/>
              <w:t>Nav ņemts vērā</w:t>
            </w:r>
          </w:p>
        </w:tc>
        <w:tc>
          <w:tcPr>
            <w:tcW w:w="4056" w:type="dxa"/>
            <w:shd w:val="clear" w:color="auto" w:fill="FFFFFF"/>
            <w:noWrap/>
            <w:tcMar>
              <w:top w:w="75" w:type="dxa"/>
              <w:left w:w="75" w:type="dxa"/>
              <w:bottom w:w="75" w:type="dxa"/>
              <w:right w:w="75" w:type="dxa"/>
            </w:tcMar>
          </w:tcPr>
          <w:p w14:paraId="736AC33B" w14:textId="77777777" w:rsidR="0089150E" w:rsidRPr="00B60CDA" w:rsidRDefault="0089150E" w:rsidP="0089150E">
            <w:pPr>
              <w:pStyle w:val="NormalWeb"/>
              <w:rPr>
                <w:color w:val="333333"/>
                <w:lang w:val="lv-LV"/>
              </w:rPr>
            </w:pPr>
            <w:r w:rsidRPr="00B60CDA">
              <w:rPr>
                <w:color w:val="333333"/>
                <w:lang w:val="lv-LV"/>
              </w:rPr>
              <w:t>Izglītības iestāžu ar augstu pieejamības risku identificēšana veikta, izmantojot vienotu, visā valstī piemērojamu un starptautiski validētu metodoloģiju (</w:t>
            </w:r>
            <w:r w:rsidRPr="00B60CDA">
              <w:rPr>
                <w:i/>
                <w:iCs/>
                <w:color w:val="333333"/>
                <w:lang w:val="lv-LV"/>
              </w:rPr>
              <w:t>global travel impedance grid</w:t>
            </w:r>
            <w:r w:rsidRPr="00B60CDA">
              <w:rPr>
                <w:color w:val="333333"/>
                <w:lang w:val="lv-LV"/>
              </w:rPr>
              <w:t xml:space="preserve">), kas ļauj objektīvi aprēķināt ceļā pavadīto laiku līdz tuvākajai izglītības iestādei, kura nodrošina attiecīgo izglītības pakāpi. </w:t>
            </w:r>
            <w:r w:rsidRPr="00B60CDA">
              <w:rPr>
                <w:color w:val="333333"/>
                <w:lang w:val="lv-LV"/>
              </w:rPr>
              <w:lastRenderedPageBreak/>
              <w:t>Metodoloģija nodrošina salīdzināmu un caurskatāmu pieeju visām teritorijām.</w:t>
            </w:r>
          </w:p>
          <w:p w14:paraId="61D0B3BB" w14:textId="77777777" w:rsidR="0089150E" w:rsidRPr="00B60CDA" w:rsidRDefault="0089150E" w:rsidP="0089150E">
            <w:pPr>
              <w:pStyle w:val="NormalWeb"/>
              <w:rPr>
                <w:color w:val="333333"/>
                <w:lang w:val="lv-LV"/>
              </w:rPr>
            </w:pPr>
            <w:r w:rsidRPr="00B60CDA">
              <w:rPr>
                <w:color w:val="333333"/>
                <w:lang w:val="lv-LV"/>
              </w:rPr>
              <w:t>Vienlaikus uzsverams, ka augsts pieejamības risks tiek noteikts izglītības iestādei kopumā, nevis atsevišķai tās izglītības programmas īstenošanas vietai. Normatīvais regulējums vērtē izglītības iestādi kā juridisku un organizatorisku vienību. Dibinātāja lēmums uzturēt vienai izglītības iestādei vairākas īstenošanas vietas ir dibinātāja kompetencē, un ar to saistītie loģistikas jautājumi, tostarp skolēnu pārvadājumu organizēšana un maršrutu plānošana, ir dibinātāja atbildība.</w:t>
            </w:r>
          </w:p>
          <w:p w14:paraId="1E8BEC2B" w14:textId="77777777" w:rsidR="0089150E" w:rsidRPr="00B60CDA" w:rsidRDefault="0089150E" w:rsidP="0089150E">
            <w:pPr>
              <w:pStyle w:val="NormalWeb"/>
              <w:rPr>
                <w:color w:val="333333"/>
                <w:lang w:val="lv-LV"/>
              </w:rPr>
            </w:pPr>
            <w:r w:rsidRPr="00B60CDA">
              <w:rPr>
                <w:color w:val="333333"/>
                <w:lang w:val="lv-LV"/>
              </w:rPr>
              <w:t>Līdz ar to atsevišķas īstenošanas vietas iekšējās organizācijas vai konkrētā pārvadājuma maršruta īpatnības nevar kalpot par pamatu pieejamības riska noteikšanai ārpus vienotās metodoloģijas. Pretējā gadījumā rastos nevienlīdzīga pieeja starp dibinātājiem atkarībā no viņu izvēlētā izglītības iestādes organizatoriskā modeļa.</w:t>
            </w:r>
          </w:p>
          <w:p w14:paraId="77801E47" w14:textId="2B22B7CE" w:rsidR="00B82680" w:rsidRPr="00B60CDA" w:rsidRDefault="00B82680" w:rsidP="00B82680">
            <w:pPr>
              <w:pStyle w:val="NormalWeb"/>
              <w:rPr>
                <w:color w:val="333333"/>
                <w:lang w:val="lv-LV"/>
              </w:rPr>
            </w:pPr>
            <w:r w:rsidRPr="00B60CDA">
              <w:rPr>
                <w:color w:val="333333"/>
                <w:lang w:val="lv-LV"/>
              </w:rPr>
              <w:t xml:space="preserve">Norādes uz citu Eiropas valstu praksi neliecina par vienotu pieeju skolu tīkla plānošanā. Katra valsts piemēro savus demogrāfiskos, teritoriālos un finanšu </w:t>
            </w:r>
            <w:r w:rsidRPr="00B60CDA">
              <w:rPr>
                <w:color w:val="333333"/>
                <w:lang w:val="lv-LV"/>
              </w:rPr>
              <w:lastRenderedPageBreak/>
              <w:t>kritērijus. Latvijā izvēlētā pieeja balstās uz</w:t>
            </w:r>
            <w:r w:rsidRPr="00B60CDA">
              <w:rPr>
                <w:color w:val="333333"/>
                <w:lang w:val="lv-LV"/>
              </w:rPr>
              <w:t xml:space="preserve"> tādiem</w:t>
            </w:r>
            <w:r w:rsidRPr="00B60CDA">
              <w:rPr>
                <w:color w:val="333333"/>
                <w:lang w:val="lv-LV"/>
              </w:rPr>
              <w:t xml:space="preserve"> objektīvi izmērāmiem rādītājiem </w:t>
            </w:r>
            <w:r w:rsidRPr="00B60CDA">
              <w:rPr>
                <w:color w:val="333333"/>
                <w:lang w:val="lv-LV"/>
              </w:rPr>
              <w:t xml:space="preserve">kā </w:t>
            </w:r>
            <w:r w:rsidRPr="00B60CDA">
              <w:rPr>
                <w:color w:val="333333"/>
                <w:lang w:val="lv-LV"/>
              </w:rPr>
              <w:t>urbanizācijas līmeni</w:t>
            </w:r>
            <w:r w:rsidRPr="00B60CDA">
              <w:rPr>
                <w:color w:val="333333"/>
                <w:lang w:val="lv-LV"/>
              </w:rPr>
              <w:t>s</w:t>
            </w:r>
            <w:r w:rsidRPr="00B60CDA">
              <w:rPr>
                <w:color w:val="333333"/>
                <w:lang w:val="lv-LV"/>
              </w:rPr>
              <w:t xml:space="preserve"> (DEGURBA klasifikācija) un ceļā pavadīt</w:t>
            </w:r>
            <w:r w:rsidRPr="00B60CDA">
              <w:rPr>
                <w:color w:val="333333"/>
                <w:lang w:val="lv-LV"/>
              </w:rPr>
              <w:t>ais</w:t>
            </w:r>
            <w:r w:rsidRPr="00B60CDA">
              <w:rPr>
                <w:color w:val="333333"/>
                <w:lang w:val="lv-LV"/>
              </w:rPr>
              <w:t xml:space="preserve"> laik</w:t>
            </w:r>
            <w:r w:rsidRPr="00B60CDA">
              <w:rPr>
                <w:color w:val="333333"/>
                <w:lang w:val="lv-LV"/>
              </w:rPr>
              <w:t>s</w:t>
            </w:r>
            <w:r w:rsidRPr="00B60CDA">
              <w:rPr>
                <w:color w:val="333333"/>
                <w:lang w:val="lv-LV"/>
              </w:rPr>
              <w:t>, nodrošinot caurskatāmu un vienādi piemērojamu metodiku visā valstī.</w:t>
            </w:r>
          </w:p>
          <w:p w14:paraId="09167BFD" w14:textId="6DF22403" w:rsidR="00B82680" w:rsidRPr="00B60CDA" w:rsidRDefault="00B82680" w:rsidP="00B82680">
            <w:pPr>
              <w:pStyle w:val="NormalWeb"/>
              <w:rPr>
                <w:color w:val="333333"/>
                <w:lang w:val="lv-LV"/>
              </w:rPr>
            </w:pPr>
            <w:r w:rsidRPr="00B60CDA">
              <w:rPr>
                <w:color w:val="333333"/>
                <w:lang w:val="lv-LV"/>
              </w:rPr>
              <w:t xml:space="preserve">Izglītības pieejamība tiek vērtēta sistēmiski, līdzsvarojot bērnu tiesības uz pieejamu un kvalitatīvu izglītību ar nepieciešamību nodrošināt ilgtspējīgu izglītības iestāžu tīklu. </w:t>
            </w:r>
          </w:p>
          <w:p w14:paraId="2895DF85" w14:textId="77777777" w:rsidR="00B82680" w:rsidRPr="00B60CDA" w:rsidRDefault="00B82680" w:rsidP="0089150E">
            <w:pPr>
              <w:pStyle w:val="NormalWeb"/>
              <w:rPr>
                <w:color w:val="333333"/>
                <w:lang w:val="lv-LV"/>
              </w:rPr>
            </w:pPr>
          </w:p>
          <w:p w14:paraId="5F5FCF41" w14:textId="77777777" w:rsidR="00B93717" w:rsidRPr="00B60CDA" w:rsidRDefault="00B93717" w:rsidP="0089150E">
            <w:pPr>
              <w:jc w:val="left"/>
              <w:rPr>
                <w:sz w:val="24"/>
                <w:szCs w:val="24"/>
              </w:rPr>
            </w:pPr>
          </w:p>
        </w:tc>
      </w:tr>
      <w:tr w:rsidR="00B93717" w:rsidRPr="00B60CDA" w14:paraId="434DA109" w14:textId="77777777" w:rsidTr="0089150E">
        <w:tc>
          <w:tcPr>
            <w:tcW w:w="750" w:type="dxa"/>
            <w:shd w:val="clear" w:color="auto" w:fill="FFFFFF"/>
            <w:noWrap/>
            <w:tcMar>
              <w:top w:w="75" w:type="dxa"/>
              <w:left w:w="75" w:type="dxa"/>
              <w:bottom w:w="75" w:type="dxa"/>
              <w:right w:w="75" w:type="dxa"/>
            </w:tcMar>
            <w:vAlign w:val="center"/>
          </w:tcPr>
          <w:p w14:paraId="5D33C584" w14:textId="77777777" w:rsidR="00B93717" w:rsidRPr="00B60CDA" w:rsidRDefault="00000000">
            <w:pPr>
              <w:jc w:val="center"/>
              <w:rPr>
                <w:sz w:val="24"/>
                <w:szCs w:val="24"/>
              </w:rPr>
            </w:pPr>
            <w:r w:rsidRPr="00B60CDA">
              <w:rPr>
                <w:sz w:val="24"/>
                <w:szCs w:val="24"/>
              </w:rPr>
              <w:lastRenderedPageBreak/>
              <w:t>3.</w:t>
            </w:r>
          </w:p>
        </w:tc>
        <w:tc>
          <w:tcPr>
            <w:tcW w:w="2930" w:type="dxa"/>
            <w:shd w:val="clear" w:color="auto" w:fill="FFFFFF"/>
            <w:noWrap/>
            <w:tcMar>
              <w:top w:w="75" w:type="dxa"/>
              <w:left w:w="75" w:type="dxa"/>
              <w:bottom w:w="75" w:type="dxa"/>
              <w:right w:w="75" w:type="dxa"/>
            </w:tcMar>
            <w:vAlign w:val="center"/>
          </w:tcPr>
          <w:p w14:paraId="262D442D" w14:textId="77777777" w:rsidR="00B93717" w:rsidRPr="00B60CDA" w:rsidRDefault="00000000">
            <w:pPr>
              <w:jc w:val="left"/>
              <w:rPr>
                <w:sz w:val="24"/>
                <w:szCs w:val="24"/>
              </w:rPr>
            </w:pPr>
            <w:r w:rsidRPr="00B60CDA">
              <w:rPr>
                <w:sz w:val="24"/>
                <w:szCs w:val="24"/>
              </w:rPr>
              <w:t>SIA "Cēsu Jaunā pamatskola", Sandra Lielmeža</w:t>
            </w:r>
          </w:p>
        </w:tc>
        <w:tc>
          <w:tcPr>
            <w:tcW w:w="5181" w:type="dxa"/>
            <w:shd w:val="clear" w:color="auto" w:fill="FFFFFF"/>
            <w:noWrap/>
            <w:tcMar>
              <w:top w:w="75" w:type="dxa"/>
              <w:left w:w="75" w:type="dxa"/>
              <w:bottom w:w="75" w:type="dxa"/>
              <w:right w:w="75" w:type="dxa"/>
            </w:tcMar>
            <w:vAlign w:val="center"/>
          </w:tcPr>
          <w:p w14:paraId="319D496A" w14:textId="77777777" w:rsidR="00B93717" w:rsidRPr="00B60CDA" w:rsidRDefault="00000000">
            <w:pPr>
              <w:jc w:val="left"/>
              <w:rPr>
                <w:sz w:val="24"/>
                <w:szCs w:val="24"/>
              </w:rPr>
            </w:pPr>
            <w:r w:rsidRPr="00B60CDA">
              <w:rPr>
                <w:sz w:val="24"/>
                <w:szCs w:val="24"/>
              </w:rPr>
              <w:t>Atzinums par MK noteikumu projektu “Kritēriji un kārtība, kādā valsts piedalās pedagogu darba samaksas finansēšanā vispārējās pamatizglītības un vispārējās vidējās izglītības pakāpē” 26-TA-19</w:t>
            </w:r>
            <w:r w:rsidRPr="00B60CDA">
              <w:rPr>
                <w:sz w:val="24"/>
                <w:szCs w:val="24"/>
              </w:rPr>
              <w:br/>
            </w:r>
            <w:r w:rsidRPr="00B60CDA">
              <w:rPr>
                <w:sz w:val="24"/>
                <w:szCs w:val="24"/>
              </w:rPr>
              <w:br/>
              <w:t xml:space="preserve">1. Izsakām </w:t>
            </w:r>
            <w:r w:rsidRPr="00B60CDA">
              <w:rPr>
                <w:b/>
                <w:sz w:val="24"/>
                <w:szCs w:val="24"/>
                <w:u w:val="single"/>
              </w:rPr>
              <w:t>iebildumu</w:t>
            </w:r>
            <w:r w:rsidRPr="00B60CDA">
              <w:rPr>
                <w:sz w:val="24"/>
                <w:szCs w:val="24"/>
              </w:rPr>
              <w:t xml:space="preserve"> pret noteikumu projekta 3.1. apakšpunktā paredzēto pašvaldību administratīvi teritoriālo vienību, kurā atrodas izglītības iestāde, iedalījumu atkarībā no urbanizācijas līmeņa (DEGURBA) un no tā izrietošajiem noteikumu projekta 2. pielikumā norādītajiem kvantitatīvajiem rādītājiem.</w:t>
            </w:r>
            <w:r w:rsidRPr="00B60CDA">
              <w:rPr>
                <w:sz w:val="24"/>
                <w:szCs w:val="24"/>
              </w:rPr>
              <w:br/>
            </w:r>
            <w:r w:rsidRPr="00B60CDA">
              <w:rPr>
                <w:sz w:val="24"/>
                <w:szCs w:val="24"/>
              </w:rPr>
              <w:br/>
            </w:r>
            <w:r w:rsidRPr="00B60CDA">
              <w:rPr>
                <w:sz w:val="24"/>
                <w:szCs w:val="24"/>
              </w:rPr>
              <w:lastRenderedPageBreak/>
              <w:t>Saskaņā ar Centrālās statistikas pārvaldes Oficiālā statistikas portāla apkopoto informāciju[1] Rīgā dzīvo trešdaļa Latvijas iedzīvotāju, tādējādi vienādu kvantitatīvo rādītāju piemērošana 1.  un 2. grupai nav samērīga, jo lielā iedzīvotāju skaita atšķirību dēļ tās nav objektīvi salīdzināmas.   </w:t>
            </w:r>
            <w:r w:rsidRPr="00B60CDA">
              <w:rPr>
                <w:sz w:val="24"/>
                <w:szCs w:val="24"/>
              </w:rPr>
              <w:br/>
            </w:r>
            <w:r w:rsidRPr="00B60CDA">
              <w:rPr>
                <w:sz w:val="24"/>
                <w:szCs w:val="24"/>
              </w:rPr>
              <w:br/>
              <w:t>Tāpat 2. grupā iekļauto pilsētu iedzīvotāju skaits ir ļoti atšķirīgs un svārstās no 78 tūkstošiem iedzīvotāju Daugavpils valstspilsētā līdz gandrīz 5 tūkstošiem iedzīvotāju Ķekavas pilsētā. Uzskatām, ka 2. grupā iekļautajām 9 Latvijas valstpilsētām, t.i. nacionālas nozīmes attīstības centriem, būtu jāatrodas atsevišķā grupā iepretim novadu pilsētām, kas ir vietējas nozīmes attīstības centri un kurās dzīvo ievērojami mazāk iedzīvotāju. Tāpat neizprotama ir Tukuma pilsētas ar 16 tūkstošiem iedzīvotāju atrašanās 4. grupā, iepretim Cēsīm, Siguldai, Bauskai, Saldum, Olainei, Ādažiem, Aizkrauklei un Ķekavai, kurās ir mazāks iedzīvotāju skaits, bet, kuras saskaņā ar noteikumu projekta 1. pielikumu, ievietotas 2. grupā un kurām jāatbilst tādiem pašiem kritērijiem kā galvaspilsētai Rīgai ar 595 tūkstošiem iedzīvotāju.</w:t>
            </w:r>
            <w:r w:rsidRPr="00B60CDA">
              <w:rPr>
                <w:sz w:val="24"/>
                <w:szCs w:val="24"/>
              </w:rPr>
              <w:br/>
            </w:r>
            <w:r w:rsidRPr="00B60CDA">
              <w:rPr>
                <w:sz w:val="24"/>
                <w:szCs w:val="24"/>
              </w:rPr>
              <w:br/>
              <w:t xml:space="preserve">2. Izsakām </w:t>
            </w:r>
            <w:r w:rsidRPr="00B60CDA">
              <w:rPr>
                <w:b/>
                <w:sz w:val="24"/>
                <w:szCs w:val="24"/>
                <w:u w:val="single"/>
              </w:rPr>
              <w:t>iebildumu</w:t>
            </w:r>
            <w:r w:rsidRPr="00B60CDA">
              <w:rPr>
                <w:sz w:val="24"/>
                <w:szCs w:val="24"/>
              </w:rPr>
              <w:t xml:space="preserve"> pret to, ka noteikumu projekts neparedz pieņemamu pārejas periodu jaunu kvantitatīvo rādītāju ieviešanai.</w:t>
            </w:r>
            <w:r w:rsidRPr="00B60CDA">
              <w:rPr>
                <w:sz w:val="24"/>
                <w:szCs w:val="24"/>
              </w:rPr>
              <w:br/>
              <w:t>17.12.2024. MK sēdē tika pieņemts zināšanai informatīvais ziņojums “</w:t>
            </w:r>
            <w:r w:rsidRPr="00B60CDA">
              <w:rPr>
                <w:i/>
                <w:sz w:val="24"/>
                <w:szCs w:val="24"/>
              </w:rPr>
              <w:t>Par pedagogu atalgojuma finansēšanas modeli "Programma skolā"</w:t>
            </w:r>
            <w:r w:rsidRPr="00B60CDA">
              <w:rPr>
                <w:sz w:val="24"/>
                <w:szCs w:val="24"/>
              </w:rPr>
              <w:t xml:space="preserve">” un ar </w:t>
            </w:r>
            <w:r w:rsidRPr="00B60CDA">
              <w:rPr>
                <w:sz w:val="24"/>
                <w:szCs w:val="24"/>
              </w:rPr>
              <w:lastRenderedPageBreak/>
              <w:t>06.11.2024. datētais un IZM izstrādātais finansēšanas modeļa “Programma skolā” apraksts, kuru atbilstoši MK sēdē nolemtajam (171. § ) bija paredzēts ieviest ar 01.09.2025., ja līdz minētajam datumam tiktu nodrošināti atbilstoši finanšu resursi.</w:t>
            </w:r>
            <w:r w:rsidRPr="00B60CDA">
              <w:rPr>
                <w:sz w:val="24"/>
                <w:szCs w:val="24"/>
              </w:rPr>
              <w:br/>
            </w:r>
            <w:r w:rsidRPr="00B60CDA">
              <w:rPr>
                <w:sz w:val="24"/>
                <w:szCs w:val="24"/>
              </w:rPr>
              <w:br/>
              <w:t>Minētā apraksta 13. tabulā tika iekļauti modeļa aprēķina kritēriji, kas balstīti uz 21.11.2023. MK sēdē izskatītajā IZM sagatavotajā informatīvajā ziņojumā “</w:t>
            </w:r>
            <w:r w:rsidRPr="00B60CDA">
              <w:rPr>
                <w:i/>
                <w:sz w:val="24"/>
                <w:szCs w:val="24"/>
              </w:rPr>
              <w:t>Kompleksi risinājumi augstvērtīgai izglītības nodrošināšanai vispārējā pamata un vidējā izglītībā</w:t>
            </w:r>
            <w:r w:rsidRPr="00B60CDA">
              <w:rPr>
                <w:sz w:val="24"/>
                <w:szCs w:val="24"/>
              </w:rPr>
              <w:t>” iekļauto informāciju, kā arī sarunās ar pašvaldībām panākto vienošanos. Šajā tabulā tika paredzēts tāds iestādes tips kā “</w:t>
            </w:r>
            <w:r w:rsidRPr="00B60CDA">
              <w:rPr>
                <w:i/>
                <w:sz w:val="24"/>
                <w:szCs w:val="24"/>
              </w:rPr>
              <w:t>Privātās izglītības iestādes</w:t>
            </w:r>
            <w:r w:rsidRPr="00B60CDA">
              <w:rPr>
                <w:sz w:val="24"/>
                <w:szCs w:val="24"/>
              </w:rPr>
              <w:t>”, paredzot 30 skolēnus kā optimālo izglītojamo skaitu 1.-3.klašu grupā, 4.-6. klašu grupā un 7.-9. klašu grupā.</w:t>
            </w:r>
            <w:r w:rsidRPr="00B60CDA">
              <w:rPr>
                <w:sz w:val="24"/>
                <w:szCs w:val="24"/>
              </w:rPr>
              <w:br/>
            </w:r>
            <w:r w:rsidRPr="00B60CDA">
              <w:rPr>
                <w:sz w:val="24"/>
                <w:szCs w:val="24"/>
              </w:rPr>
              <w:br/>
              <w:t>Noteikumu projekta 3. punkts un 2. pielikums paredz citas izglītības iestāžu grupas nekā sākotnējais “Programma skolā” apraksts un tajā vairs nav paredzēta tāda grupa kā “</w:t>
            </w:r>
            <w:r w:rsidRPr="00B60CDA">
              <w:rPr>
                <w:i/>
                <w:sz w:val="24"/>
                <w:szCs w:val="24"/>
              </w:rPr>
              <w:t>Privātās izglītības iestādes</w:t>
            </w:r>
            <w:r w:rsidRPr="00B60CDA">
              <w:rPr>
                <w:sz w:val="24"/>
                <w:szCs w:val="24"/>
              </w:rPr>
              <w:t>”. Tāpat noteikumu projekts neparedz “saudzējošu” pārejas periodu, kas ļautu privātām izglītības iestādēm pārorientēt savu darbību atbilstoši jaunajam regulējumam, kā arī izglītojamo vecākiem pieņemt apzinātu un pārdomātu lēmumu savu bērnu izglītības iestādes izvēlei.</w:t>
            </w:r>
            <w:r w:rsidRPr="00B60CDA">
              <w:rPr>
                <w:sz w:val="24"/>
                <w:szCs w:val="24"/>
              </w:rPr>
              <w:br/>
            </w:r>
            <w:r w:rsidRPr="00B60CDA">
              <w:rPr>
                <w:sz w:val="24"/>
                <w:szCs w:val="24"/>
              </w:rPr>
              <w:br/>
              <w:t xml:space="preserve">Tiesiskās drošības un paļāvības princips noteic, ka </w:t>
            </w:r>
            <w:r w:rsidRPr="00B60CDA">
              <w:rPr>
                <w:sz w:val="24"/>
                <w:szCs w:val="24"/>
              </w:rPr>
              <w:lastRenderedPageBreak/>
              <w:t>indivīds var paļauties uz to, ka tiesības un citas leģitīmās intereses, kuras viņš ir ieguvis, paļaujoties uz to, ka publisko tiesību subjekta rīcība ir tiesiska un konsekventa, viņam vēlāk netiks atņemtas, tāpēc, ka publisko tiesību subjekts savas domas ir mainījis vai arī izrādās, ka rīcība ir bijusi prettiesiska.[2]  </w:t>
            </w:r>
            <w:r w:rsidRPr="00B60CDA">
              <w:rPr>
                <w:sz w:val="24"/>
                <w:szCs w:val="24"/>
              </w:rPr>
              <w:br/>
            </w:r>
            <w:r w:rsidRPr="00B60CDA">
              <w:rPr>
                <w:sz w:val="24"/>
                <w:szCs w:val="24"/>
              </w:rPr>
              <w:br/>
              <w:t xml:space="preserve">Tiesiskās paļāvības aizsardzība ir Eiropas Savienības tiesību tiesiskās drošības pamataspekts. Tiesiskās drošības princips garantē paredzamu vidi un noteic, ka cilvēkiem jābūt spējīgiem droši plānot savu dzīvi, apzinoties savas rīcības juridiskās sekas. Tas paredz, ka 1) nevienai valsts rīcībai nedrīkst būt atpakaļvērsts spēks; 2) likumdevējiem jānodrošina valsts iedzīvotājiem </w:t>
            </w:r>
            <w:r w:rsidRPr="00B60CDA">
              <w:rPr>
                <w:sz w:val="24"/>
                <w:szCs w:val="24"/>
                <w:u w:val="single"/>
              </w:rPr>
              <w:t>pieņemams laika periods, lai sagatavotos</w:t>
            </w:r>
            <w:r w:rsidRPr="00B60CDA">
              <w:rPr>
                <w:sz w:val="24"/>
                <w:szCs w:val="24"/>
              </w:rPr>
              <w:t xml:space="preserve"> attiecīgā juridiskā instrumenta piemērošanai no tā publicēšanas datuma.[3]</w:t>
            </w:r>
            <w:r w:rsidRPr="00B60CDA">
              <w:rPr>
                <w:sz w:val="24"/>
                <w:szCs w:val="24"/>
              </w:rPr>
              <w:br/>
            </w:r>
            <w:r w:rsidRPr="00B60CDA">
              <w:rPr>
                <w:sz w:val="24"/>
                <w:szCs w:val="24"/>
              </w:rPr>
              <w:br/>
              <w:t>Skola 2030 pieeja mācību saturam izceļ obligātā mācību satura struktūru, kas tiek plānota saskaņā ar noteiktiem 3 gadu periodiem, ar mērķi sekmēt mērķtiecīgu mācību saturu un rezultātus ilgākā laika periodā. Arī izglītības standarts paredz sasniedzamos rezultātus trīs gadu posma noslēgumā (beidzot 3. klasi, beidzot 6. klasi, beidzot 9. klasi).</w:t>
            </w:r>
            <w:r w:rsidRPr="00B60CDA">
              <w:rPr>
                <w:sz w:val="24"/>
                <w:szCs w:val="24"/>
              </w:rPr>
              <w:br/>
            </w:r>
            <w:r w:rsidRPr="00B60CDA">
              <w:rPr>
                <w:sz w:val="24"/>
                <w:szCs w:val="24"/>
              </w:rPr>
              <w:br/>
              <w:t xml:space="preserve">Uzskatām, ka 3 gadu periods ir pieņemams laika periods, kurā privātās izglītības iestādes varētu sagatavoties jaunajam regulējumam, gan izglītojamo vecāki nebūtu spiesti mainīt izglītības </w:t>
            </w:r>
            <w:r w:rsidRPr="00B60CDA">
              <w:rPr>
                <w:sz w:val="24"/>
                <w:szCs w:val="24"/>
              </w:rPr>
              <w:lastRenderedPageBreak/>
              <w:t>iestādi uzsāktā 3 gadu posma sākumā vai vidū tikai tā iemesla dēļ, ka publiskais tiesību subjekts ir mainījis savas domas attiecībā uz finansējuma piešķiršanu izglītības iestādēm.</w:t>
            </w:r>
            <w:r w:rsidRPr="00B60CDA">
              <w:rPr>
                <w:sz w:val="24"/>
                <w:szCs w:val="24"/>
              </w:rPr>
              <w:br/>
              <w:t> ______</w:t>
            </w:r>
            <w:r w:rsidRPr="00B60CDA">
              <w:rPr>
                <w:sz w:val="24"/>
                <w:szCs w:val="24"/>
              </w:rPr>
              <w:br/>
              <w:t>[1] Šeit un turpmāk statistikas dati no https://stat.gov.lv/lv/statistikas-temas/iedzivotaji/iedzivotaju-skaits/247-iedzivotaju-skaits-un-ta-izmainas</w:t>
            </w:r>
            <w:r w:rsidRPr="00B60CDA">
              <w:rPr>
                <w:sz w:val="24"/>
                <w:szCs w:val="24"/>
              </w:rPr>
              <w:br/>
              <w:t>[2] D.Rezevska. Referāta  “Tiesiskās drošības un paļāvības princips – būtiski tiesiskas valsts principa elementi” tēzes.</w:t>
            </w:r>
            <w:r w:rsidRPr="00B60CDA">
              <w:rPr>
                <w:sz w:val="24"/>
                <w:szCs w:val="24"/>
              </w:rPr>
              <w:br/>
              <w:t>[3] Turpat</w:t>
            </w:r>
            <w:r w:rsidRPr="00B60CDA">
              <w:rPr>
                <w:sz w:val="24"/>
                <w:szCs w:val="24"/>
              </w:rPr>
              <w:br/>
            </w:r>
          </w:p>
        </w:tc>
        <w:tc>
          <w:tcPr>
            <w:tcW w:w="1650" w:type="dxa"/>
            <w:shd w:val="clear" w:color="auto" w:fill="FFFFFF"/>
            <w:noWrap/>
            <w:tcMar>
              <w:top w:w="75" w:type="dxa"/>
              <w:left w:w="75" w:type="dxa"/>
              <w:bottom w:w="75" w:type="dxa"/>
              <w:right w:w="75" w:type="dxa"/>
            </w:tcMar>
          </w:tcPr>
          <w:p w14:paraId="7A1643E4" w14:textId="235B2652" w:rsidR="00B93717" w:rsidRPr="00B60CDA" w:rsidRDefault="00A94A66" w:rsidP="0089150E">
            <w:pPr>
              <w:jc w:val="center"/>
              <w:rPr>
                <w:sz w:val="24"/>
                <w:szCs w:val="24"/>
              </w:rPr>
            </w:pPr>
            <w:r w:rsidRPr="00B60CDA">
              <w:rPr>
                <w:sz w:val="24"/>
                <w:szCs w:val="24"/>
              </w:rPr>
              <w:lastRenderedPageBreak/>
              <w:t>Nav ņemts vērā</w:t>
            </w:r>
          </w:p>
        </w:tc>
        <w:tc>
          <w:tcPr>
            <w:tcW w:w="4056" w:type="dxa"/>
            <w:shd w:val="clear" w:color="auto" w:fill="FFFFFF"/>
            <w:noWrap/>
            <w:tcMar>
              <w:top w:w="75" w:type="dxa"/>
              <w:left w:w="75" w:type="dxa"/>
              <w:bottom w:w="75" w:type="dxa"/>
              <w:right w:w="75" w:type="dxa"/>
            </w:tcMar>
          </w:tcPr>
          <w:p w14:paraId="47687894" w14:textId="77777777" w:rsidR="0084408C" w:rsidRPr="00B60CDA" w:rsidRDefault="00A94A66" w:rsidP="0084408C">
            <w:pPr>
              <w:jc w:val="left"/>
              <w:rPr>
                <w:sz w:val="24"/>
                <w:szCs w:val="24"/>
              </w:rPr>
            </w:pPr>
            <w:r w:rsidRPr="00B60CDA">
              <w:rPr>
                <w:sz w:val="24"/>
                <w:szCs w:val="24"/>
              </w:rPr>
              <w:t xml:space="preserve">Urbanizācijas līmeņa (DEGURBA) izmantošana ir izvēlēta kā objektīvs, starptautiski piemērots teritoriālās diferenciācijas instruments, kas ļauj vienoti un caurskatāmi klasificēt administratīvās teritorijas atbilstoši to urbanizācijas pakāpei. DEGURBA klasifikācija nav balstīta tikai uz kopējo iedzīvotāju skaitu vai iedzīvotāju blīvumu, bet uz kompleksu metodoloģiju, kas ņem vērā apdzīvoto vietu telpisko struktūru, apbūves intensitāti, iedzīvotāju koncentrāciju </w:t>
            </w:r>
            <w:r w:rsidRPr="00B60CDA">
              <w:rPr>
                <w:sz w:val="24"/>
                <w:szCs w:val="24"/>
              </w:rPr>
              <w:lastRenderedPageBreak/>
              <w:t>konkrētās teritorijas šūnās un funkcionālo saistību starp teritorijām. Tādējādi tā raksturo, cik koncentrēta vai izkliedēta ir apdzīvotība un kāda ir teritorijas urbānā struktūra kopumā. Regulējuma mērķis nav salīdzināt pašvaldības pēc kopējā iedzīvotāju skaita, bet nodrošināt samērīgu un sistēmisku pieeju izglītības iestāžu tīkla plānošanai atbilstoši teritorijas urbanizācijas pakāpei.</w:t>
            </w:r>
          </w:p>
          <w:p w14:paraId="233014B4" w14:textId="77777777" w:rsidR="0084408C" w:rsidRPr="00B60CDA" w:rsidRDefault="00E75AB5" w:rsidP="0084408C">
            <w:pPr>
              <w:jc w:val="left"/>
              <w:rPr>
                <w:sz w:val="24"/>
                <w:szCs w:val="24"/>
              </w:rPr>
            </w:pPr>
            <w:r w:rsidRPr="00B60CDA">
              <w:rPr>
                <w:sz w:val="24"/>
                <w:szCs w:val="24"/>
              </w:rPr>
              <w:t>Noteikumu projektā privātajām izglītības iestādēm ir paredzēts pārejas periods, un tas ir trīs mācību gadi – no 2026./2027. līdz 2028./2029. mācību gadam. Jaunā kārtība pilnā apmērā tiek piemērota tikai no 2029. gada 1. septembra.</w:t>
            </w:r>
          </w:p>
          <w:p w14:paraId="4C305CC4" w14:textId="77777777" w:rsidR="0084408C" w:rsidRPr="00B60CDA" w:rsidRDefault="00E75AB5" w:rsidP="0084408C">
            <w:pPr>
              <w:jc w:val="left"/>
              <w:rPr>
                <w:sz w:val="24"/>
                <w:szCs w:val="24"/>
              </w:rPr>
            </w:pPr>
            <w:r w:rsidRPr="00B60CDA">
              <w:rPr>
                <w:sz w:val="24"/>
                <w:szCs w:val="24"/>
              </w:rPr>
              <w:t>Pārejas periodā 10.–12. klašu grupā tiek piemērots samazināts kvantitatīvais rādītājs (par 50 %) un paredzēta iespēja saņemt valsts finansējumu proporcionāli faktiskajam izglītojamo skaitam, ja klašu grupā ir vismaz 30 izglītojamie. Tādējādi finansējuma izmaiņas netiek ieviestas pēkšņi, bet pakāpeniski, nodrošinot prognozējamu pielāgošanās laiku.</w:t>
            </w:r>
          </w:p>
          <w:p w14:paraId="032741D4" w14:textId="47D2C246" w:rsidR="00E75AB5" w:rsidRPr="00B60CDA" w:rsidRDefault="00E75AB5" w:rsidP="0084408C">
            <w:pPr>
              <w:jc w:val="left"/>
              <w:rPr>
                <w:sz w:val="24"/>
                <w:szCs w:val="24"/>
              </w:rPr>
            </w:pPr>
            <w:r w:rsidRPr="00B60CDA">
              <w:rPr>
                <w:sz w:val="24"/>
                <w:szCs w:val="24"/>
              </w:rPr>
              <w:t xml:space="preserve">Savukārt pamatizglītības pakāpē pārejas periods netiek paredzēts, jo pamatizglītība ir obligāta un valsts </w:t>
            </w:r>
            <w:r w:rsidRPr="00B60CDA">
              <w:rPr>
                <w:sz w:val="24"/>
                <w:szCs w:val="24"/>
              </w:rPr>
              <w:lastRenderedPageBreak/>
              <w:t xml:space="preserve">pienākums ir nodrošināt vienlīdzīgu un salīdzināmu pieeju visiem dibinātājiem neatkarīgi no to juridiskā statusa. Atšķirīga vai ilgstoši </w:t>
            </w:r>
            <w:r w:rsidR="0084408C" w:rsidRPr="00B60CDA">
              <w:rPr>
                <w:sz w:val="24"/>
                <w:szCs w:val="24"/>
              </w:rPr>
              <w:t>atvieglota</w:t>
            </w:r>
            <w:r w:rsidRPr="00B60CDA">
              <w:rPr>
                <w:sz w:val="24"/>
                <w:szCs w:val="24"/>
              </w:rPr>
              <w:t xml:space="preserve"> regulējuma piemērošana atsevišķai dibinātāju grupai pamatizglītības posmā radītu nevienlīdzīgu attieksmi un apdraudētu vienotus kvalitātes un pieejamības principus valstī kopumā.</w:t>
            </w:r>
          </w:p>
          <w:p w14:paraId="4C452147" w14:textId="77777777" w:rsidR="00A94A66" w:rsidRPr="00B60CDA" w:rsidRDefault="00A94A66" w:rsidP="0089150E">
            <w:pPr>
              <w:jc w:val="left"/>
              <w:rPr>
                <w:sz w:val="24"/>
                <w:szCs w:val="24"/>
              </w:rPr>
            </w:pPr>
          </w:p>
          <w:p w14:paraId="4337809B" w14:textId="7EFB8ED0" w:rsidR="00A94A66" w:rsidRPr="00B60CDA" w:rsidRDefault="00A94A66" w:rsidP="0089150E">
            <w:pPr>
              <w:jc w:val="left"/>
              <w:rPr>
                <w:sz w:val="24"/>
                <w:szCs w:val="24"/>
              </w:rPr>
            </w:pPr>
          </w:p>
        </w:tc>
      </w:tr>
      <w:tr w:rsidR="00B93717" w:rsidRPr="00B60CDA" w14:paraId="38747A86" w14:textId="77777777" w:rsidTr="0089150E">
        <w:tc>
          <w:tcPr>
            <w:tcW w:w="750" w:type="dxa"/>
            <w:shd w:val="clear" w:color="auto" w:fill="FFFFFF"/>
            <w:noWrap/>
            <w:tcMar>
              <w:top w:w="75" w:type="dxa"/>
              <w:left w:w="75" w:type="dxa"/>
              <w:bottom w:w="75" w:type="dxa"/>
              <w:right w:w="75" w:type="dxa"/>
            </w:tcMar>
            <w:vAlign w:val="center"/>
          </w:tcPr>
          <w:p w14:paraId="1427B13C" w14:textId="77777777" w:rsidR="00B93717" w:rsidRPr="00B60CDA" w:rsidRDefault="00000000">
            <w:pPr>
              <w:jc w:val="center"/>
              <w:rPr>
                <w:sz w:val="24"/>
                <w:szCs w:val="24"/>
              </w:rPr>
            </w:pPr>
            <w:r w:rsidRPr="00B60CDA">
              <w:rPr>
                <w:sz w:val="24"/>
                <w:szCs w:val="24"/>
              </w:rPr>
              <w:lastRenderedPageBreak/>
              <w:t>4.</w:t>
            </w:r>
          </w:p>
        </w:tc>
        <w:tc>
          <w:tcPr>
            <w:tcW w:w="2930" w:type="dxa"/>
            <w:shd w:val="clear" w:color="auto" w:fill="FFFFFF"/>
            <w:noWrap/>
            <w:tcMar>
              <w:top w:w="75" w:type="dxa"/>
              <w:left w:w="75" w:type="dxa"/>
              <w:bottom w:w="75" w:type="dxa"/>
              <w:right w:w="75" w:type="dxa"/>
            </w:tcMar>
            <w:vAlign w:val="center"/>
          </w:tcPr>
          <w:p w14:paraId="51C711E7" w14:textId="77777777" w:rsidR="00B93717" w:rsidRPr="00B60CDA" w:rsidRDefault="00000000">
            <w:pPr>
              <w:jc w:val="left"/>
              <w:rPr>
                <w:sz w:val="24"/>
                <w:szCs w:val="24"/>
              </w:rPr>
            </w:pPr>
            <w:r w:rsidRPr="00B60CDA">
              <w:rPr>
                <w:sz w:val="24"/>
                <w:szCs w:val="24"/>
              </w:rPr>
              <w:t>Zasas vidusskola, Svetlana Sasko</w:t>
            </w:r>
          </w:p>
        </w:tc>
        <w:tc>
          <w:tcPr>
            <w:tcW w:w="5181" w:type="dxa"/>
            <w:shd w:val="clear" w:color="auto" w:fill="FFFFFF"/>
            <w:noWrap/>
            <w:tcMar>
              <w:top w:w="75" w:type="dxa"/>
              <w:left w:w="75" w:type="dxa"/>
              <w:bottom w:w="75" w:type="dxa"/>
              <w:right w:w="75" w:type="dxa"/>
            </w:tcMar>
            <w:vAlign w:val="center"/>
          </w:tcPr>
          <w:p w14:paraId="5D06B337" w14:textId="77777777" w:rsidR="00B93717" w:rsidRPr="00B60CDA" w:rsidRDefault="00000000">
            <w:pPr>
              <w:jc w:val="left"/>
              <w:rPr>
                <w:sz w:val="24"/>
                <w:szCs w:val="24"/>
              </w:rPr>
            </w:pPr>
            <w:r w:rsidRPr="00B60CDA">
              <w:rPr>
                <w:sz w:val="24"/>
                <w:szCs w:val="24"/>
              </w:rPr>
              <w:br/>
              <w:t>IEBILDUMI par MK noteikumu projektu “Kritēriji un kārtība, kādā valsts piedalās pedagogu darba samaksas finansēšanā vispārējās pamatizglītības un vispārējās vidējās izglītības pakāpē”, projekta ID 26-TA-193.</w:t>
            </w:r>
            <w:r w:rsidRPr="00B60CDA">
              <w:rPr>
                <w:sz w:val="24"/>
                <w:szCs w:val="24"/>
              </w:rPr>
              <w:br/>
            </w:r>
            <w:r w:rsidRPr="00B60CDA">
              <w:rPr>
                <w:sz w:val="24"/>
                <w:szCs w:val="24"/>
              </w:rPr>
              <w:br/>
              <w:t xml:space="preserve">Normatīvā akta projekta 3. pielikumā uzskaitītas skolas, kuras atbilstoši anotācijas 5. sadaļas c. punktā minētajiem kritērijiem, noteiktas kā izglītības iestādes ar augstu pieejamības risku ( ja ceļā pavadītais laiks līdz nākamajai izglītības iestādei ir vairāk kā 30 minūtes, izglītības iestādei ir augsts pieejamības risks, un līdz ar to šīm izglītības iestādēm tiek noteikts zemākais iespējamais izglītojamo skaita slieksnis jeb kvantitatīvie kritēriji). Norādām, ka šo izglītības </w:t>
            </w:r>
            <w:r w:rsidRPr="00B60CDA">
              <w:rPr>
                <w:sz w:val="24"/>
                <w:szCs w:val="24"/>
              </w:rPr>
              <w:lastRenderedPageBreak/>
              <w:t>iestāžu sarakstu nepieciešams papildināt ar Zasas vidusskolu, kas atrodas Jēkabpils novadā. Faktiskais ceļā pavadītais laiks pārsniedz šī tiesību akta anotācijā noteiktās 30 minūtes, kas izglītojamajam jāpavada ceļā līdz tuvākai izglītības iestādei, kas šajā gadījumā ir Zasas vidusskola.</w:t>
            </w:r>
            <w:r w:rsidRPr="00B60CDA">
              <w:rPr>
                <w:sz w:val="24"/>
                <w:szCs w:val="24"/>
              </w:rPr>
              <w:br/>
              <w:t>Dati apliecina, ka Zasas vidusskola apkalpo plašu un daudzveidīgu teritoriju Jēkabpils novadā, tostarp: Zasas pagastu (lielākā daļa skolēnu), Kalna, Leimaņu, Rubenes, Dignājas, Asares, Ābeļu, Salas, Kūku pagastu un Jēkabpils pilsētu. Skola faktiski pilda reģionāla izglītības centra funkciju, piesaistot skolēnus gan no lauku teritorijām, gan pilsētas.</w:t>
            </w:r>
            <w:r w:rsidRPr="00B60CDA">
              <w:rPr>
                <w:sz w:val="24"/>
                <w:szCs w:val="24"/>
              </w:rPr>
              <w:br/>
              <w:t>Kopējais attālums līdz skolai (no dzīvesvietas): minimālais: 0–5 km (lielākā daļa Zasas pagasta skolēnu), tipiskais diapazons: 5–20 km, lielākais fiksētais attālums: 70–74 km (atsevišķi gadījumi no Kūku pagasta) un regulāri sastopami attālumi 35–43 km (Jēkabpils, Salas pagasts). Tas apliecina, ka skola jau šobrīd nodrošina izglītības pieejamību arī ļoti attāli dzīvojošiem skolēniem.</w:t>
            </w:r>
            <w:r w:rsidRPr="00B60CDA">
              <w:rPr>
                <w:sz w:val="24"/>
                <w:szCs w:val="24"/>
              </w:rPr>
              <w:br/>
              <w:t xml:space="preserve">Kopējais ceļā pavadītais laiks (kājām + transports): īsākais: 4–10 minūtes, vidējais: 20–40 minūtes un ilgākais: 60–75 minūtes, atsevišķos gadījumos līdz 1 h 16 min. Svarīgi: pat skolēni ar ļoti ilgu ceļa laiku apzināti izvēlas Zasas vidusskolu, kas liecina par tās reputāciju, drošību un piemērotību. Vairākos gadījumos norādīts skolēniem “nav ne skolas, ne satiksmes autobusa”. Tas nozīmē, ka daļa skolēnu ir atkarīgi no vecāku transporta un skolas tuvums kļūst kritiski svarīgs, un jebkura skolas tīkla </w:t>
            </w:r>
            <w:r w:rsidRPr="00B60CDA">
              <w:rPr>
                <w:sz w:val="24"/>
                <w:szCs w:val="24"/>
              </w:rPr>
              <w:lastRenderedPageBreak/>
              <w:t>sašaurināšana palielinātu nevienlīdzību. Zasas vidusskolas saglabāšana un tās iekļaušana augsta pieejamības riska grupā mazina risku, ka skolēniem nāktos pavadīt nesamērīgi ilgu laiku ceļā vai pārtraukt mācības.</w:t>
            </w:r>
            <w:r w:rsidRPr="00B60CDA">
              <w:rPr>
                <w:sz w:val="24"/>
                <w:szCs w:val="24"/>
              </w:rPr>
              <w:br/>
              <w:t>Kartogrāfiskā karte nepārprotami apliecina, ka Zasas vidusskola atrodas stratēģiski nozīmīgā ģeogrāfiskā vietā. Novelkot 25 km rādiusa apli ap skolu tiek nosegta plaša teritorija – vairāk kā 1000 km2 – kurā ietilpst arī Dignājas un Rubeņu pamatskolu apkalpotās teritorijas, kuru izglītības iestāžu slēgšana pašlaik tiek plānota. Tas nozīmē, ka Zasas vidusskolai ir objektīvs un stabils potenciāls arī turpmākajos gados nodrošināt pietiekamu skolēnu skaitu vidusskolas posmā, atbilstoši pieejamības skolas kritērijam. Salīdzinājumā ar Aknīstes un Viesītes vidusskolām, Zasas vidusskola ar mazāku ģeogrāfisko pārklājuma rādiusu spēj nodrošināt izglītības pieejamību lielākam iedzīvotāju skaitam, kas liecina par tās efektivitāti un ilgtspēju.  Vidusskola posma saglabāšana Zasā ir īpaši būtiska lauku teritorijas dzīvojošajiem jauniešiem, kuriem izglītības pieejamība ir cieši saistīta ar transporta iespējām, drošību un emocionālo labklājību.</w:t>
            </w:r>
            <w:r w:rsidRPr="00B60CDA">
              <w:rPr>
                <w:sz w:val="24"/>
                <w:szCs w:val="24"/>
              </w:rPr>
              <w:br/>
              <w:t xml:space="preserve">Neveicot Zasas vidusskolas reorganizāciju un piešķirot tai pieejamības skolas statusu, tiktu saglabātas un nostiprinātas plašākas iespējas jauniešiem iegūt kvalitatīvu vidējo izglītību tuvāk dzīvesvietai, mazinot priekšlaicīgas mācību pārtraukšanas riskus un veicinot reģiona sociāli </w:t>
            </w:r>
            <w:r w:rsidRPr="00B60CDA">
              <w:rPr>
                <w:sz w:val="24"/>
                <w:szCs w:val="24"/>
              </w:rPr>
              <w:lastRenderedPageBreak/>
              <w:t>ekonomisko attīstību. Zasas vidusskolas “vidusskolas” posma saglabāšana ir ieguldījums ne tikai konkrētās skolas nākotnē, bet arī visas apkārtējās teritorijas attīstībā un jaunās paaudzes izglītībā.</w:t>
            </w:r>
            <w:r w:rsidRPr="00B60CDA">
              <w:rPr>
                <w:sz w:val="24"/>
                <w:szCs w:val="24"/>
              </w:rPr>
              <w:br/>
              <w:t>Saskaņā ar ANO Bērnu tiesību konvenciju un Latvijas Republikas Satversmes 112. pantu valstij ir pienākums nodrošināt ikvienam bērnam pieejamu un kvalitatīvu izglītību. Izglītības likumā un Bērnu tiesību aizsardzības likumā ir noteikts, ka izglītības sistēmas uzdevums ir nodrošināt ikvienam bērnam iespēju iegūt izglītību atbilstoši viņa spējām un vajadzībām, ievērojot bērna labākās intereses. Minētie apstākļi apliecina, ka Zasas vidusskolas “vidusskolas” posma saglabāšana un pieejamības statusa piešķiršana nozīmē izglītības pieejamības nodrošināšanā konkrētajā teritorijā ir būtiska un tuvākās skolas – Aknīstes vidusskola, Viesītes vidusskola un Jēkabpils pilsētas vidusskola/ģimnāzija – sasniegšanu nav iespējams nodrošināt laika nogrieznī līdz 30 minūtēm.</w:t>
            </w:r>
            <w:r w:rsidRPr="00B60CDA">
              <w:rPr>
                <w:sz w:val="24"/>
                <w:szCs w:val="24"/>
              </w:rPr>
              <w:br/>
              <w:t>Normatīvā akta projekta anotācijā norādīts, ka ilgtspējīga izglītības iestāžu tīkla veidošanā Izglītības un zinātnes ministrija definē piecus principus. Kā viens no tiem ir noteiktais urbanizācijas līmenis administratīvi teritoriālajām vienībām. Šī principa noteikšanai izmantota Eurostat DEGURBA klasifikācija.</w:t>
            </w:r>
            <w:r w:rsidRPr="00B60CDA">
              <w:rPr>
                <w:sz w:val="24"/>
                <w:szCs w:val="24"/>
              </w:rPr>
              <w:br/>
              <w:t xml:space="preserve">Norādām, ka Eiropā pastāv liels skaits mazo skolu, kur bērnu skaits ir mazāks par 50, līdz ar to izteiktais viedoklis par neefektivitāti, skolu līmeni, </w:t>
            </w:r>
            <w:r w:rsidRPr="00B60CDA">
              <w:rPr>
                <w:sz w:val="24"/>
                <w:szCs w:val="24"/>
              </w:rPr>
              <w:lastRenderedPageBreak/>
              <w:t>utml., neatbilst reālajai situācijai vairākās no Eiropas valstīm – ir valstis, kur tas ir pieņemami.  Skolu tīkla uzturēšana laukos nav ‘bizness’ – tā ir pieejamības politika.</w:t>
            </w:r>
            <w:r w:rsidRPr="00B60CDA">
              <w:rPr>
                <w:sz w:val="24"/>
                <w:szCs w:val="24"/>
              </w:rPr>
              <w:br/>
              <w:t>Līdz ar to lauku skolas reorganizācijas/slēgšanas izvērtējumā jāņem vērā, ka Eiropas Savienības valstīs skolu tīkla lēmumi lauku teritorijās tiek pieņemti, analizējot pieejamību un ietekmi uz teritorijas dzīvotspēju. Vienas skolas “iekšējie rādītāji” nevar būt vienīgais un izšķirošais pamats lēmumam, jo skolas pastāvēšana ir cieši saistīta ar pagasta attīstību, iedzīvotāju piesaisti un vienlīdzīgu izglītības iespēju nodrošināšanu.</w:t>
            </w:r>
            <w:r w:rsidRPr="00B60CDA">
              <w:rPr>
                <w:sz w:val="24"/>
                <w:szCs w:val="24"/>
              </w:rPr>
              <w:br/>
              <w:t>Skolas turpmākās pastāvēšanas un attīstības jautājumu nav pieļaujams vērtēt tikai pēc šauriem īstermiņa rādītājiem – skolēnu skaita, izmaksām uz vienu izglītojamo vai pedagogu slodžu organizācijas aspektiem. Šāda pieeja neatspoguļo izglītības iestādes patieso nozīmi lauku teritorijā un ir pretrunā ar mērķi nodrošināt izglītības pieejamību un vienlīdzīgas iespējas neatkarīgi no dzīvesvietas.</w:t>
            </w:r>
            <w:r w:rsidRPr="00B60CDA">
              <w:rPr>
                <w:sz w:val="24"/>
                <w:szCs w:val="24"/>
              </w:rPr>
              <w:br/>
              <w:t xml:space="preserve">Tāpat ir jāņem vērā, ka izglītības pieejamība ir ne tikai pakalpojuma nodrošināšana, bet arī reālas iespējas bērniem to saņemt bez nesamērīga apgrūtinājuma. Ja bērniem būtu jābrauc uz tālāku skolu, tas nozīmētu ilgāku ceļu, agrāku izbraukšanu, vēlāku atgriešanos mājās, mazāku iespēju piedalīties interešu izglītībā un ārpusstundu aktivitātēs, kā arī papildu riskus un stresu. Tas tieši ietekmē izglītības kvalitāti, bērna labsajūtu, sociālo iekļaušanu un ģimeņu ikdienas iespējas apvienot </w:t>
            </w:r>
            <w:r w:rsidRPr="00B60CDA">
              <w:rPr>
                <w:sz w:val="24"/>
                <w:szCs w:val="24"/>
              </w:rPr>
              <w:lastRenderedPageBreak/>
              <w:t>darbu ar bērna aprūpi.</w:t>
            </w:r>
            <w:r w:rsidRPr="00B60CDA">
              <w:rPr>
                <w:sz w:val="24"/>
                <w:szCs w:val="24"/>
              </w:rPr>
              <w:br/>
              <w:t>Ņemot vērā minētos apstākļus normatīvos aktus, norādām, ka ir nepieciešams izvērtēt Zasas vidusskolas “vidusskolas” posma slēgšanas situāciju individuāli, ņemot vērā ne tikai kvantitatīvos rādītājus, bet arī faktisko pieejamību, faktisko izglītojamo ceļā pavadīto laiku un izglītojamo individuālās mācīšanās vajadzības plašākā – arī starpnovadu – kontekstā un Zasas vidusskolu noteikt kā izglītības iestādi ar augstu pieejamības risku.</w:t>
            </w:r>
            <w:r w:rsidRPr="00B60CDA">
              <w:rPr>
                <w:sz w:val="24"/>
                <w:szCs w:val="24"/>
              </w:rPr>
              <w:br/>
            </w:r>
            <w:r w:rsidRPr="00B60CDA">
              <w:rPr>
                <w:sz w:val="24"/>
                <w:szCs w:val="24"/>
              </w:rPr>
              <w:br/>
              <w:t>Zasas vidusskolas direktore                                                                                                                                                   S.Sasko</w:t>
            </w:r>
            <w:r w:rsidRPr="00B60CDA">
              <w:rPr>
                <w:sz w:val="24"/>
                <w:szCs w:val="24"/>
              </w:rPr>
              <w:br/>
            </w:r>
          </w:p>
        </w:tc>
        <w:tc>
          <w:tcPr>
            <w:tcW w:w="1650" w:type="dxa"/>
            <w:shd w:val="clear" w:color="auto" w:fill="FFFFFF"/>
            <w:noWrap/>
            <w:tcMar>
              <w:top w:w="75" w:type="dxa"/>
              <w:left w:w="75" w:type="dxa"/>
              <w:bottom w:w="75" w:type="dxa"/>
              <w:right w:w="75" w:type="dxa"/>
            </w:tcMar>
          </w:tcPr>
          <w:p w14:paraId="65163F30" w14:textId="37E82558" w:rsidR="00B93717" w:rsidRPr="00B60CDA" w:rsidRDefault="008F7A81" w:rsidP="0089150E">
            <w:pPr>
              <w:jc w:val="center"/>
              <w:rPr>
                <w:sz w:val="24"/>
                <w:szCs w:val="24"/>
              </w:rPr>
            </w:pPr>
            <w:r w:rsidRPr="00B60CDA">
              <w:rPr>
                <w:sz w:val="24"/>
                <w:szCs w:val="24"/>
              </w:rPr>
              <w:lastRenderedPageBreak/>
              <w:t>Nav ņemts vērā</w:t>
            </w:r>
          </w:p>
        </w:tc>
        <w:tc>
          <w:tcPr>
            <w:tcW w:w="4056" w:type="dxa"/>
            <w:shd w:val="clear" w:color="auto" w:fill="FFFFFF"/>
            <w:noWrap/>
            <w:tcMar>
              <w:top w:w="75" w:type="dxa"/>
              <w:left w:w="75" w:type="dxa"/>
              <w:bottom w:w="75" w:type="dxa"/>
              <w:right w:w="75" w:type="dxa"/>
            </w:tcMar>
          </w:tcPr>
          <w:p w14:paraId="62BEA953" w14:textId="77777777" w:rsidR="008F7A81" w:rsidRPr="00B60CDA" w:rsidRDefault="008F7A81" w:rsidP="008F7A81">
            <w:pPr>
              <w:pStyle w:val="NormalWeb"/>
              <w:rPr>
                <w:color w:val="333333"/>
                <w:lang w:val="lv-LV"/>
              </w:rPr>
            </w:pPr>
            <w:r w:rsidRPr="00B60CDA">
              <w:rPr>
                <w:color w:val="333333"/>
                <w:lang w:val="lv-LV"/>
              </w:rPr>
              <w:t>Augsta pieejamības riska identificēšana izglītības iestādei noteikumu projektā tiek veikta, balstoties uz vienotu un visām izglītības iestādēm piemērojamu metodoloģiju, kas paredz objektīvu ceļā pavadītā laika aprēķinu līdz nākamajai tuvākajai izglītības iestādei, kura nodrošina to pašu izglītības pakāpi. Šī pieeja balstīta starptautiski validētā metodoloģijā un tiek piemērota konsekventi visā valstī, lai nodrošinātu vienlīdzīgu un caurskatāmu izvērtējumu.</w:t>
            </w:r>
          </w:p>
          <w:p w14:paraId="4772CBFD" w14:textId="2953BB1B" w:rsidR="008F7A81" w:rsidRPr="00B60CDA" w:rsidRDefault="008F7A81" w:rsidP="008F7A81">
            <w:pPr>
              <w:pStyle w:val="NormalWeb"/>
              <w:rPr>
                <w:color w:val="333333"/>
                <w:lang w:val="lv-LV"/>
              </w:rPr>
            </w:pPr>
            <w:r w:rsidRPr="00B60CDA">
              <w:rPr>
                <w:color w:val="333333"/>
                <w:lang w:val="lv-LV"/>
              </w:rPr>
              <w:t xml:space="preserve">Vienlaikus jāuzsver, ka izglītības iestādes reorganizācija vai izglītības pakāpes maiņa ir dibinātāja kompetence </w:t>
            </w:r>
            <w:r w:rsidRPr="00B60CDA">
              <w:rPr>
                <w:color w:val="333333"/>
                <w:lang w:val="lv-LV"/>
              </w:rPr>
              <w:lastRenderedPageBreak/>
              <w:t>un atbildība. Valsts ar noteikumu projektu nenosaka konkrētas iestādes reorganizāciju, bet nosaka kritērijus, kādos gadījumos un kādā apmērā valsts piedalās pedagogu darba samaksas finansēšanā. Lēmums par skolas turpmāko attīstību, struktūru vai izglītības pakāpes saglabāšanu ir dibinātāja ziņā.</w:t>
            </w:r>
          </w:p>
          <w:p w14:paraId="249DD316" w14:textId="77777777" w:rsidR="00391B90" w:rsidRPr="00B60CDA" w:rsidRDefault="008F7A81" w:rsidP="00391B90">
            <w:pPr>
              <w:pStyle w:val="NormalWeb"/>
              <w:rPr>
                <w:color w:val="333333"/>
                <w:lang w:val="lv-LV"/>
              </w:rPr>
            </w:pPr>
            <w:r w:rsidRPr="00B60CDA">
              <w:rPr>
                <w:color w:val="333333"/>
                <w:lang w:val="lv-LV"/>
              </w:rPr>
              <w:t>Regulējums paredz mehānismu, kas ļauj dibinātājam uzņemties lielāku atbildību gadījumos, kad izglītības iestāde neatbilst noteiktajiem kvantitatīvajiem rādītājiem, bet dibinātājs to uzskata par nozīmīgu skolu tīkla ekosistēmā. Šādos gadījumos dibinātājs var nodrošināt nepieciešamo līdzfinansējumu pedagogu darba samaksai. Tādējādi regulējums neierobežo dibinātāja iespējas saglabāt iestādi vai tās struktūrvienību, bet skaidri nosaka valsts finansējuma robežas un atbildības sadalījumu.</w:t>
            </w:r>
          </w:p>
          <w:p w14:paraId="2182F818" w14:textId="6158BED5" w:rsidR="00B93717" w:rsidRPr="00B60CDA" w:rsidRDefault="008F7A81" w:rsidP="00391B90">
            <w:pPr>
              <w:pStyle w:val="NormalWeb"/>
              <w:rPr>
                <w:color w:val="333333"/>
                <w:lang w:val="lv-LV"/>
              </w:rPr>
            </w:pPr>
            <w:r w:rsidRPr="00B60CDA">
              <w:rPr>
                <w:color w:val="333333"/>
                <w:lang w:val="lv-LV"/>
              </w:rPr>
              <w:t xml:space="preserve">Tādējādi noteikumu projekts respektē katra dibinātāja autonomiju un atbildību par skolu tīkla plānošanu, vienlaikus nosakot skaidru valsts līdzdalības apmēru finansējumā. </w:t>
            </w:r>
          </w:p>
        </w:tc>
      </w:tr>
      <w:tr w:rsidR="00B93717" w:rsidRPr="00B60CDA" w14:paraId="6CBB1F27" w14:textId="77777777" w:rsidTr="0089150E">
        <w:tc>
          <w:tcPr>
            <w:tcW w:w="750" w:type="dxa"/>
            <w:shd w:val="clear" w:color="auto" w:fill="FFFFFF"/>
            <w:noWrap/>
            <w:tcMar>
              <w:top w:w="75" w:type="dxa"/>
              <w:left w:w="75" w:type="dxa"/>
              <w:bottom w:w="75" w:type="dxa"/>
              <w:right w:w="75" w:type="dxa"/>
            </w:tcMar>
            <w:vAlign w:val="center"/>
          </w:tcPr>
          <w:p w14:paraId="678D3D4B" w14:textId="77777777" w:rsidR="00B93717" w:rsidRPr="00B60CDA" w:rsidRDefault="00000000">
            <w:pPr>
              <w:jc w:val="center"/>
              <w:rPr>
                <w:sz w:val="24"/>
                <w:szCs w:val="24"/>
              </w:rPr>
            </w:pPr>
            <w:r w:rsidRPr="00B60CDA">
              <w:rPr>
                <w:sz w:val="24"/>
                <w:szCs w:val="24"/>
              </w:rPr>
              <w:lastRenderedPageBreak/>
              <w:t>5.</w:t>
            </w:r>
          </w:p>
        </w:tc>
        <w:tc>
          <w:tcPr>
            <w:tcW w:w="2930" w:type="dxa"/>
            <w:shd w:val="clear" w:color="auto" w:fill="FFFFFF"/>
            <w:noWrap/>
            <w:tcMar>
              <w:top w:w="75" w:type="dxa"/>
              <w:left w:w="75" w:type="dxa"/>
              <w:bottom w:w="75" w:type="dxa"/>
              <w:right w:w="75" w:type="dxa"/>
            </w:tcMar>
            <w:vAlign w:val="center"/>
          </w:tcPr>
          <w:p w14:paraId="3075658D" w14:textId="77777777" w:rsidR="00B93717" w:rsidRPr="00B60CDA" w:rsidRDefault="00000000">
            <w:pPr>
              <w:jc w:val="left"/>
              <w:rPr>
                <w:sz w:val="24"/>
                <w:szCs w:val="24"/>
              </w:rPr>
            </w:pPr>
            <w:r w:rsidRPr="00B60CDA">
              <w:rPr>
                <w:sz w:val="24"/>
                <w:szCs w:val="24"/>
              </w:rPr>
              <w:t>Latvijas Privātskolu asociācija, Anna Jermakoviča</w:t>
            </w:r>
          </w:p>
        </w:tc>
        <w:tc>
          <w:tcPr>
            <w:tcW w:w="5181" w:type="dxa"/>
            <w:shd w:val="clear" w:color="auto" w:fill="FFFFFF"/>
            <w:noWrap/>
            <w:tcMar>
              <w:top w:w="75" w:type="dxa"/>
              <w:left w:w="75" w:type="dxa"/>
              <w:bottom w:w="75" w:type="dxa"/>
              <w:right w:w="75" w:type="dxa"/>
            </w:tcMar>
            <w:vAlign w:val="center"/>
          </w:tcPr>
          <w:p w14:paraId="22C59D01" w14:textId="77777777" w:rsidR="00B93717" w:rsidRPr="00B60CDA" w:rsidRDefault="00000000">
            <w:pPr>
              <w:jc w:val="left"/>
              <w:rPr>
                <w:sz w:val="24"/>
                <w:szCs w:val="24"/>
              </w:rPr>
            </w:pPr>
            <w:r w:rsidRPr="00B60CDA">
              <w:rPr>
                <w:sz w:val="24"/>
                <w:szCs w:val="24"/>
              </w:rPr>
              <w:t>Par tiesību aktu projektu Nr. 26-TA-193 (papildināts)</w:t>
            </w:r>
            <w:r w:rsidRPr="00B60CDA">
              <w:rPr>
                <w:sz w:val="24"/>
                <w:szCs w:val="24"/>
              </w:rPr>
              <w:br/>
              <w:t>Biedrība “Latvijas Privātskolu asociācija” (turpmāk – Asociācija) ir iepazinusies ar Ministru kabineta noteikumu projektu “Kritēriji un kārtība, kādā valsts piedalās pedagogu darba samaksas finansēšanā vispārējās pamatizglītības un vispārējās vidējās izglītības pakāpē” (turpmāk – Projekts) un publiskās apspriešanas ietvaros iebilst pret tā tālāku virzību piedāvātajā redakcijā šādu apsvērumu dēļ:</w:t>
            </w:r>
            <w:r w:rsidRPr="00B60CDA">
              <w:rPr>
                <w:sz w:val="24"/>
                <w:szCs w:val="24"/>
              </w:rPr>
              <w:br/>
              <w:t xml:space="preserve">I           Asociācija, piedaloties jau likumprojekta “Grozījumi Izglītības likumā” (Nr. 1114/Lp14) apspriešanā, Saeimas Budžeta un finanšu (nodokļu) komisijai pauda viedokli[1], ka virzītie grozījumi </w:t>
            </w:r>
            <w:r w:rsidRPr="00B60CDA">
              <w:rPr>
                <w:sz w:val="24"/>
                <w:szCs w:val="24"/>
              </w:rPr>
              <w:lastRenderedPageBreak/>
              <w:t>rada draudus Latvijas izglītības pieejamībai, kvalitātei un privātskolu pastāvēšanai nākotnē. Asociācija vērsa uzmanību, ka kvantitatīvais kritērijs, nosakot, ka pilsētās un blīvi apdzīvotās vietās 1.-3.klašu grupā ir jābūt 120 skolēniem un tikpat arī nākamajās klašu grupās (4.-6., 7-9., 10.-12.), lielākajai daļai privātskolu Latvijā nav izpildāms. Tāpat savu satraukumu Asociācija pauda arī 2025. gada 14. novembra vēstulē Nr. 1-3PA/2025/10 un tikšanās laikā 2025. gada 2. decembrī. Tomēr, virzot šo reformu, Asociācijas viedoklis pēc būtības ir ignorēts.</w:t>
            </w:r>
            <w:r w:rsidRPr="00B60CDA">
              <w:rPr>
                <w:sz w:val="24"/>
                <w:szCs w:val="24"/>
              </w:rPr>
              <w:br/>
              <w:t>II         Projekta anotācijā nav sniegti dati par izstrādātā regulējuma ietekmi ne uz tām privātajām izglītības iestādēm, kas darbojas šobrīd, ne arī vērtētas šī tirgus segmenta attīstības iespējas turpmāk. Kā zināms, Latvijā salīdzinoši ar citām OECD (Ekonomiskās sadarbības un attīstības organizācija) dalībvalstīm ir viens no zemākajiem rādītājiem – privātās skolas Latvijā veido tikai 2-3% no nozares un tās saņem vismazāko līdzfinansējumu[2]. Izglītības likuma</w:t>
            </w:r>
            <w:r w:rsidRPr="00B60CDA">
              <w:rPr>
                <w:sz w:val="24"/>
                <w:szCs w:val="24"/>
              </w:rPr>
              <w:br/>
              <w:t xml:space="preserve">55. panta pirmajā punktā ir noteikts, ka ikvienam izglītojamajam ir tiesības uz valsts vai pašvaldības apmaksātu izglītību, un Izglītības likuma 57. panta pirmajā punktā ir noteikts, ka vecākiem ir tiesības izvēlēties izglītības iestādi bērna izglītošanai. Latvijā, pastāvot mazam privāto izglītības iestāžu segmentam izglītības nozarē, valstij, respektējot izglītojamā tiesības un vecāku tiesības, jo īpaši ir jāievēro pienākums nodrošināt vienlīdzīgu un </w:t>
            </w:r>
            <w:r w:rsidRPr="00B60CDA">
              <w:rPr>
                <w:sz w:val="24"/>
                <w:szCs w:val="24"/>
              </w:rPr>
              <w:lastRenderedPageBreak/>
              <w:t>nediskriminējošu attieksmi pret visām akreditētajām izglītības iestādēm neatkarīgi no to dibinātāja un atrašanās vietas.</w:t>
            </w:r>
            <w:r w:rsidRPr="00B60CDA">
              <w:rPr>
                <w:sz w:val="24"/>
                <w:szCs w:val="24"/>
              </w:rPr>
              <w:br/>
              <w:t>Vēl būtiskāk no sabiedrības interešu viedokļa, kā arī bērnu tiesību un interešu prioritātes viedokļa, ir rast atbildi uz jautājumu, kādu ietekmi Projekts radīs uz skolēniem. Projekta anotācijā norādītais, ka tas ir vērsts uz tādas izglītības ekosistēmas izveidi un uzturēšanu, kas nodrošina katram izglītojamam, neatkarīgi no viņa dzīvesvietas, iespēju iegūt kvalitatīvu izglītību stabilā un ilgtspējīgā izglītības iestādē, kurā ir nodrošināti nepieciešamie pārvaldības nosacījumi izglītības programmu īstenošanai, attiecībā uz privātajām izglītības iestādēm nav pamatots. Privātas iestādes stabilitāte un ilgtspēja lielā mērā ir atkarīga no spējas piedāvāt kvalitatīvu, skolēnam pielāgotu, pašu piemērotāko mācīšanās modeli. Skolēnu skaita kritērijs privātskolās nevar būt tāds pats kā pašvaldību izglītības iestādēs – tas ir pretrunā ar privātskolu pārliecību, pieeju, skolēnu un viņu vecāku vēlmēm un vajadzībām. Tāpat tas nostāda privātskolas situācijā, kurā tām ir jāspēj konkurēt arī ar pieejamo infrastruktūru, turklāt kvantitatīvi, ne kvalitatīvi, un nesaņemot valsts un Eiropas Savienības fondu atbalstu. Lūdzam Konkurences padomi sniegt arī savu izvērtējumu.</w:t>
            </w:r>
            <w:r w:rsidRPr="00B60CDA">
              <w:rPr>
                <w:sz w:val="24"/>
                <w:szCs w:val="24"/>
              </w:rPr>
              <w:br/>
              <w:t xml:space="preserve">Attiecībā uz skolēnu un viņu vecāku vēlmēm un vajadzībām jānorāda, ka tās ir dažādas, un šobrīd pieejamais privātskolu piedāvājums tās spēj kvalitatīvi apmierināt. Eiropas Savienības </w:t>
            </w:r>
            <w:r w:rsidRPr="00B60CDA">
              <w:rPr>
                <w:sz w:val="24"/>
                <w:szCs w:val="24"/>
              </w:rPr>
              <w:lastRenderedPageBreak/>
              <w:t>Pamattiesību hartas 14. panta 3. punktā nostiprināta brīvība dibināt mācību iestādes, ievērojot demokrātiskus principus, kā arī vecāku tiesības nodrošināt savu bērnu audzināšanu un izglītību saskaņā ar savu reliģisko, filozofisko un pedagoģisko pārliecību. Minētā brīvība ir juridiskais pamats privāto skolu pastāvēšanai visā Eiropas Savienībā. Savukārt izglītības iestāžu un izglītības programmu akreditācija jau nodrošina izglītības iestādes snieguma atbilstību izvirzītajiem mērķiem, apliecina mācību kvalitāti, iekļaujošu vidi un labu pārvaldību. Skolēnu skaitu klasē nevar izmantot par objektīvu kvalitātes kritēriju. Zinātniskie pētījumi apliecina pretējo, par ko informāciju Izglītības un zinātnes ministrijai jau sniegušas virkne citu asociāciju.</w:t>
            </w:r>
            <w:r w:rsidRPr="00B60CDA">
              <w:rPr>
                <w:sz w:val="24"/>
                <w:szCs w:val="24"/>
              </w:rPr>
              <w:br/>
              <w:t xml:space="preserve">Ne mazāk svarīga ir arī Projekta ietekme uz valsts budžetu un pašvaldību budžetiem. Projekts neparedz ne pārejas periodu, ne rīcības plānu, pat ne apņemšanos nodrošināt ikvienam skolēnam vietu līdzvērtīgā, viņa vajadzībām piemērotā mācību iestādē, ja privātskola, kurā bērns šobrīd mācās, neatbildīs izvirzītajam kvantitatīvajam kritērijam attiecībā uz bērnu skaitu klašu grupā. Ja Projekta pašreizējā redakcijā tiks pieņemts norādītais kvantitatīvais kritērijs, tad jau 2027.gadā gan Rīgā, gan citos reģionos, tiks būtiski ierobežotas vecāku tiesības izvēlēties bērnam piemērotāko izglītības iestādi un tiks neatgriezeniski samazināta izglītības sistēmas daudzveidība un pieejamība, kas ir būtisks priekšnoteikums iekļaujošas un uz bērna interesēm </w:t>
            </w:r>
            <w:r w:rsidRPr="00B60CDA">
              <w:rPr>
                <w:sz w:val="24"/>
                <w:szCs w:val="24"/>
              </w:rPr>
              <w:lastRenderedPageBreak/>
              <w:t>vērstas izglītības nodrošināšanai. Daļai bērnu, kuri mācās privātajās izglītības iestādēs, klasiskās pedagoģijas metodes nav piemērotas un īstenojamas, kā rezultātā mazāks skolēnu skaits klasē ir fundamentāls priekšnoteikums, lai nodrošinātu viņu tiesības uz piemērotu izglītību. Izglītības iestāde atstāj ļoti lielu ietekmi uz bērna tālākajām dzīves gaitām pēc izglītības iegūšanas, tāpēc ir jo sevišķi svarīgi bērna sākumskolas vecumposmā nodrošināt viņam piemērotu izglītības iegūšanas vidi. Latvijas Republikas Satversmes 112.pantā ir noteikts, ka ikvienam ir tiesības uz izglītību. Savukārt, Bērnu tiesību aizsardzības likuma 6.panta pirmajā daļā ir noteikts, ka tiesiskajās attiecībās, kas skar bērnu, bērna tiesības un intereses ir prioritāras, un šā panta otrajā daļā ir noteikts,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r w:rsidRPr="00B60CDA">
              <w:rPr>
                <w:sz w:val="24"/>
                <w:szCs w:val="24"/>
              </w:rPr>
              <w:br/>
              <w:t>Reformas īstenošana piedāvātajā veidolā viennozīmīgi radīs nepieciešamību meklēt ievērojamus papildu līdzekļus valsts un pašvaldību budžetos.</w:t>
            </w:r>
            <w:r w:rsidRPr="00B60CDA">
              <w:rPr>
                <w:sz w:val="24"/>
                <w:szCs w:val="24"/>
              </w:rPr>
              <w:br/>
              <w:t xml:space="preserve">III        Projekta 3. punktā definētas grupas, kurās ietilpstošajām izglītības iestādēm tiktu pieļauta izglītojamo skaita svārstība. Izglītības un zinātnes ministrija savā atbildē uz iepriekš minēto Asociācijas vēstuli to dēvē par diferencētu un </w:t>
            </w:r>
            <w:r w:rsidRPr="00B60CDA">
              <w:rPr>
                <w:sz w:val="24"/>
                <w:szCs w:val="24"/>
              </w:rPr>
              <w:lastRenderedPageBreak/>
              <w:t>elastīgu pieeju privātajām izglītības iestādēm. Ņemot vērā iepriekš paustos argumentus pret skolēnu skaita klasē kritēriju, Asociācija nevar atbalstīt šādu regulējumu, kas ir netieši diskriminējošs attiecībā uz citām privātskolām. Ne Izglītības likums, ne kāds cits normatīvais akts nedefinē jēdzienu “alternatīvā pedagoģija” – arī neizvirza kādus konkrētus kritērijus (vēl bez pienākuma ievērot valsts izglītības standarta un akreditācijas prasības) vai ieteikumus izmantot minētos pedagoģijas virzienus. Tādējādi nav pamata regulējuma diferenciācijai, nosakot kvantitatīvos kritērijus.</w:t>
            </w:r>
            <w:r w:rsidRPr="00B60CDA">
              <w:rPr>
                <w:sz w:val="24"/>
                <w:szCs w:val="24"/>
              </w:rPr>
              <w:br/>
              <w:t>Darām zināmu, ka Asociācija plāno vērsties Saeimas Juridiskajā birojā un Tieslietu ministrijā, lūdzot viedokli to kompetences ietvaros par Izglītības likuma 14. panta 41. un 42. punktā Ministru kabinetam dotā deleģējuma tvērumu ņemot vērā finansēšanas kritēriju ietekmi uz privāto izglītības iestāžu darbības darbības un pastāvēšanas nosacījumiem.</w:t>
            </w:r>
            <w:r w:rsidRPr="00B60CDA">
              <w:rPr>
                <w:sz w:val="24"/>
                <w:szCs w:val="24"/>
              </w:rPr>
              <w:br/>
              <w:t>Apskatot minētās grupas, nav arī skaidra šo tiesību normu piemērošanas kārtība, piemēram:</w:t>
            </w:r>
            <w:r w:rsidRPr="00B60CDA">
              <w:rPr>
                <w:sz w:val="24"/>
                <w:szCs w:val="24"/>
              </w:rPr>
              <w:br/>
              <w:t xml:space="preserve">3.7. apakšpunkts (13. grupa) – [..] privātās izglītības iestāde, kura īsteno vispārējās vidējās izglītības programmas klātienes formā un kura kā būtiska pašvaldības izglītības ekosistēmas daļa iekļauta apstiprinātā pašvaldības izglītības ekosistēmas attīstības stratēģijā. Rīgas valstspilsētas pašvaldības izglītības ekosistēmas attīstības stratēģijai 2024.-2028. gadam atzīts, ka Rīgā ir izvietotas daudzas </w:t>
            </w:r>
            <w:r w:rsidRPr="00B60CDA">
              <w:rPr>
                <w:sz w:val="24"/>
                <w:szCs w:val="24"/>
              </w:rPr>
              <w:lastRenderedPageBreak/>
              <w:t>privātu vai juridisku personu dibinātas izglītības iestādes, profesionālās un augstākās izglītības iestādes, kas ievērojami paplašina galvaspilsētas iedzīvotājiem pieejamo izglītības pakalpojumu piedāvājumu. Vai minētais nozīmē, ka 13. grupā ietilptu visas Rīgas privātās skolas?</w:t>
            </w:r>
            <w:r w:rsidRPr="00B60CDA">
              <w:rPr>
                <w:sz w:val="24"/>
                <w:szCs w:val="24"/>
              </w:rPr>
              <w:br/>
              <w:t>3.9. punkts (15.grupa) – izglītības iestādes, kurās viss mācību process tiek organizēts, izmantojot Montesori vai Valdorfa alternatīvo pedagoģiju [..]. Izglītības un zinātnes ministrijas pasūtītajā pētījumā “Privāto izglītības iestāžu ieguldījums vispārējās izglītības nodrošināšanā”[3]. Pētot privātskolu dibinātāju motivāciju, konstatēts, ka salīdzinoši daudz privāto izglītības iestāžu piedāvā Valdorfpedagoģijā un Montesori pieejā balstītu izglītību, taču šo pieeju popularitāte nedrīkst tās nostādīt priviliģētākā stāvoklī pār citām skolām – piemēram, skolas, kas piedāvā reliģisko audzināšanu un izglītību, vai vecāku un kopienu veidotas skolas, kurās nedominē viena no pedagoģiskajām pieejām. Izglītības un zinātnes ministrijai gan no minētā pētījuma, gan sarunām ar nozari ir zināms, ka virknē privātskolu pedagogi pēta dažādas mācīšanās pieejas. Pedagoģiskās pieejas, virziena izvēle ir būtisks privātskolu autonomijas elements, ko lūdzam respektēt.</w:t>
            </w:r>
            <w:r w:rsidRPr="00B60CDA">
              <w:rPr>
                <w:sz w:val="24"/>
                <w:szCs w:val="24"/>
              </w:rPr>
              <w:br/>
              <w:t>Priekšlikumi</w:t>
            </w:r>
            <w:r w:rsidRPr="00B60CDA">
              <w:rPr>
                <w:sz w:val="24"/>
                <w:szCs w:val="24"/>
              </w:rPr>
              <w:br/>
            </w:r>
            <w:r w:rsidRPr="00B60CDA">
              <w:rPr>
                <w:sz w:val="24"/>
                <w:szCs w:val="24"/>
              </w:rPr>
              <w:br/>
              <w:t>Izstrādāt un steidzami virzīt grozījumus Izglītības likumā par termiņa pagarinājumu Ministru kabineta regulējuma izdošanai attiecībā uz privātskolām;</w:t>
            </w:r>
            <w:r w:rsidRPr="00B60CDA">
              <w:rPr>
                <w:sz w:val="24"/>
                <w:szCs w:val="24"/>
              </w:rPr>
              <w:br/>
            </w:r>
            <w:r w:rsidRPr="00B60CDA">
              <w:rPr>
                <w:sz w:val="24"/>
                <w:szCs w:val="24"/>
              </w:rPr>
              <w:lastRenderedPageBreak/>
              <w:t>Pēc Projekta publiskās apspriešanas organizēt plašu diskusiju, iesaistot visas ieinteresētās puses, nepieciešamības gadījumā veidojot darba grupu, lai izstrādātu samērīgu un taisnīgu normatīvo regulējumu, kas veicinātu visu subjektu garantēto tiesību un izvirzīto mērķu sasniegšanu, par prioritāti nosakot bērnu tiesības un intereses;</w:t>
            </w:r>
            <w:r w:rsidRPr="00B60CDA">
              <w:rPr>
                <w:sz w:val="24"/>
                <w:szCs w:val="24"/>
              </w:rPr>
              <w:br/>
              <w:t>Cita starpā izvērtēt Saeimas Juridiskā biroja un Tieslietu ministrijas atbildi par Izglītības likuma 14. panta 41. un 42. punktā ietvertā deleģējuma Ministru kabinetam tvērumu (pēc tās saņemšanas).</w:t>
            </w:r>
            <w:r w:rsidRPr="00B60CDA">
              <w:rPr>
                <w:sz w:val="24"/>
                <w:szCs w:val="24"/>
              </w:rPr>
              <w:br/>
            </w:r>
            <w:r w:rsidRPr="00B60CDA">
              <w:rPr>
                <w:sz w:val="24"/>
                <w:szCs w:val="24"/>
              </w:rPr>
              <w:br/>
              <w:t>[1] https://titania.saeima.lv/LIVS14/SaeimaLIVS14.nsf/0/FDDAFF71961AA823C2258D3B003A617C?OpenDocument</w:t>
            </w:r>
            <w:r w:rsidRPr="00B60CDA">
              <w:rPr>
                <w:sz w:val="24"/>
                <w:szCs w:val="24"/>
              </w:rPr>
              <w:br/>
            </w:r>
            <w:r w:rsidRPr="00B60CDA">
              <w:rPr>
                <w:sz w:val="24"/>
                <w:szCs w:val="24"/>
              </w:rPr>
              <w:br/>
              <w:t>[2] https://www.oecd.org/en/publications/pisa-2022-results-volume-ii_a97db61c-en.html</w:t>
            </w:r>
            <w:r w:rsidRPr="00B60CDA">
              <w:rPr>
                <w:sz w:val="24"/>
                <w:szCs w:val="24"/>
              </w:rPr>
              <w:br/>
            </w:r>
            <w:r w:rsidRPr="00B60CDA">
              <w:rPr>
                <w:sz w:val="24"/>
                <w:szCs w:val="24"/>
              </w:rPr>
              <w:br/>
              <w:t>[3] https://ppdb.mk.gov.lv/database/privato-izglitibas-iestazu-ieguldijums-visparejas-izglitibas-nodrosinasana/</w:t>
            </w:r>
            <w:r w:rsidRPr="00B60CDA">
              <w:rPr>
                <w:sz w:val="24"/>
                <w:szCs w:val="24"/>
              </w:rPr>
              <w:br/>
            </w:r>
          </w:p>
        </w:tc>
        <w:tc>
          <w:tcPr>
            <w:tcW w:w="1650" w:type="dxa"/>
            <w:shd w:val="clear" w:color="auto" w:fill="FFFFFF"/>
            <w:noWrap/>
            <w:tcMar>
              <w:top w:w="75" w:type="dxa"/>
              <w:left w:w="75" w:type="dxa"/>
              <w:bottom w:w="75" w:type="dxa"/>
              <w:right w:w="75" w:type="dxa"/>
            </w:tcMar>
          </w:tcPr>
          <w:p w14:paraId="1224ED7B" w14:textId="1D2950DA" w:rsidR="00B93717" w:rsidRPr="00B60CDA" w:rsidRDefault="0089150E" w:rsidP="0089150E">
            <w:pPr>
              <w:jc w:val="center"/>
              <w:rPr>
                <w:sz w:val="24"/>
                <w:szCs w:val="24"/>
              </w:rPr>
            </w:pPr>
            <w:r w:rsidRPr="00B60CDA">
              <w:rPr>
                <w:sz w:val="24"/>
                <w:szCs w:val="24"/>
              </w:rPr>
              <w:lastRenderedPageBreak/>
              <w:t>Nav ņemts vērā</w:t>
            </w:r>
          </w:p>
        </w:tc>
        <w:tc>
          <w:tcPr>
            <w:tcW w:w="4056" w:type="dxa"/>
            <w:shd w:val="clear" w:color="auto" w:fill="FFFFFF"/>
            <w:noWrap/>
            <w:tcMar>
              <w:top w:w="75" w:type="dxa"/>
              <w:left w:w="75" w:type="dxa"/>
              <w:bottom w:w="75" w:type="dxa"/>
              <w:right w:w="75" w:type="dxa"/>
            </w:tcMar>
          </w:tcPr>
          <w:p w14:paraId="2DB7516A" w14:textId="58F06B05" w:rsidR="00B93717" w:rsidRPr="00B60CDA" w:rsidRDefault="0089150E" w:rsidP="0089150E">
            <w:pPr>
              <w:jc w:val="left"/>
              <w:rPr>
                <w:sz w:val="24"/>
                <w:szCs w:val="24"/>
              </w:rPr>
            </w:pPr>
            <w:r w:rsidRPr="00B60CDA">
              <w:rPr>
                <w:sz w:val="24"/>
                <w:szCs w:val="24"/>
              </w:rPr>
              <w:t xml:space="preserve">Regulējuma izstrādes procesā ir rasti samērīgi kompromisi ar privāto izglītības iestāžu sektoru, tostarp paredzot atsevišķu pārejas periodu, kas attiecināms tikai uz privātajām izglītības iestādēm, kā arī nosakot samazinātu kvantitatīvo kritēriju piemērošanu gadījumos, kad privātā izglītības iestāde ir iekļauta apstiprinātā pašvaldības izglītības ekosistēmas attīstības stratēģijā. Papildus tam pārejas periodā ir paredzēta proporcionāla valsts līdzdalība pedagogu darba samaksas finansēšanā. Šie risinājumi ir tieši vērsti </w:t>
            </w:r>
            <w:r w:rsidRPr="00B60CDA">
              <w:rPr>
                <w:sz w:val="24"/>
                <w:szCs w:val="24"/>
              </w:rPr>
              <w:lastRenderedPageBreak/>
              <w:t>uz privāto izglītības iestāžu pakāpenisku pielāgošanos jaunajam regulējumam.</w:t>
            </w:r>
          </w:p>
        </w:tc>
      </w:tr>
      <w:tr w:rsidR="00B93717" w:rsidRPr="00B60CDA" w14:paraId="5FE94CEE" w14:textId="77777777" w:rsidTr="0089150E">
        <w:tc>
          <w:tcPr>
            <w:tcW w:w="750" w:type="dxa"/>
            <w:shd w:val="clear" w:color="auto" w:fill="FFFFFF"/>
            <w:noWrap/>
            <w:tcMar>
              <w:top w:w="75" w:type="dxa"/>
              <w:left w:w="75" w:type="dxa"/>
              <w:bottom w:w="75" w:type="dxa"/>
              <w:right w:w="75" w:type="dxa"/>
            </w:tcMar>
            <w:vAlign w:val="center"/>
          </w:tcPr>
          <w:p w14:paraId="61A71E97" w14:textId="77777777" w:rsidR="00B93717" w:rsidRPr="00B60CDA" w:rsidRDefault="00000000">
            <w:pPr>
              <w:jc w:val="center"/>
              <w:rPr>
                <w:sz w:val="24"/>
                <w:szCs w:val="24"/>
              </w:rPr>
            </w:pPr>
            <w:r w:rsidRPr="00B60CDA">
              <w:rPr>
                <w:sz w:val="24"/>
                <w:szCs w:val="24"/>
              </w:rPr>
              <w:lastRenderedPageBreak/>
              <w:t>6.</w:t>
            </w:r>
          </w:p>
        </w:tc>
        <w:tc>
          <w:tcPr>
            <w:tcW w:w="2930" w:type="dxa"/>
            <w:shd w:val="clear" w:color="auto" w:fill="FFFFFF"/>
            <w:noWrap/>
            <w:tcMar>
              <w:top w:w="75" w:type="dxa"/>
              <w:left w:w="75" w:type="dxa"/>
              <w:bottom w:w="75" w:type="dxa"/>
              <w:right w:w="75" w:type="dxa"/>
            </w:tcMar>
            <w:vAlign w:val="center"/>
          </w:tcPr>
          <w:p w14:paraId="634D779F" w14:textId="77777777" w:rsidR="00B93717" w:rsidRPr="00B60CDA" w:rsidRDefault="00000000">
            <w:pPr>
              <w:jc w:val="left"/>
              <w:rPr>
                <w:sz w:val="24"/>
                <w:szCs w:val="24"/>
              </w:rPr>
            </w:pPr>
            <w:r w:rsidRPr="00B60CDA">
              <w:rPr>
                <w:sz w:val="24"/>
                <w:szCs w:val="24"/>
              </w:rPr>
              <w:t>"CIRKUŽI", Ieva Dreimane</w:t>
            </w:r>
          </w:p>
        </w:tc>
        <w:tc>
          <w:tcPr>
            <w:tcW w:w="5181" w:type="dxa"/>
            <w:shd w:val="clear" w:color="auto" w:fill="FFFFFF"/>
            <w:noWrap/>
            <w:tcMar>
              <w:top w:w="75" w:type="dxa"/>
              <w:left w:w="75" w:type="dxa"/>
              <w:bottom w:w="75" w:type="dxa"/>
              <w:right w:w="75" w:type="dxa"/>
            </w:tcMar>
            <w:vAlign w:val="center"/>
          </w:tcPr>
          <w:p w14:paraId="2DF2F6C3" w14:textId="77777777" w:rsidR="00B93717" w:rsidRPr="00B60CDA" w:rsidRDefault="00000000">
            <w:pPr>
              <w:jc w:val="left"/>
              <w:rPr>
                <w:sz w:val="24"/>
                <w:szCs w:val="24"/>
              </w:rPr>
            </w:pPr>
            <w:r w:rsidRPr="00B60CDA">
              <w:rPr>
                <w:sz w:val="24"/>
                <w:szCs w:val="24"/>
              </w:rPr>
              <w:t>Iebildums par noteikumu projekta (26-TA-193) anotāciju</w:t>
            </w:r>
            <w:r w:rsidRPr="00B60CDA">
              <w:rPr>
                <w:sz w:val="24"/>
                <w:szCs w:val="24"/>
              </w:rPr>
              <w:br/>
              <w:t xml:space="preserve">Noteikumu projekta anotācijā un 3. pielikumā, nosakot izglītības iestādes ar augstu pieejamības risku, nav iekļauta Dignājas pamatskola (Jēkabpils novads), lai gan tās faktiskā situācija atbilst šīs kategorijas mērķim. Dignājas pamatskola faktiski </w:t>
            </w:r>
            <w:r w:rsidRPr="00B60CDA">
              <w:rPr>
                <w:sz w:val="24"/>
                <w:szCs w:val="24"/>
              </w:rPr>
              <w:lastRenderedPageBreak/>
              <w:t>jau pilda pieejamības skolas funkciju, jo pēc Dunavas pamatskolas slēgšanas 2018. gadā daļa izglītojamo līdz skolai mēro ceļu, kura ilgums pārsniedz 30 minūtes.</w:t>
            </w:r>
            <w:r w:rsidRPr="00B60CDA">
              <w:rPr>
                <w:sz w:val="24"/>
                <w:szCs w:val="24"/>
              </w:rPr>
              <w:br/>
              <w:t>Anotācijā izmantotais kvantitatīvais izvērtējums nenodrošina pilnīgu faktiskās izglītības pieejamības izvērtējumu, jo netiek pietiekami ņemts vērā izglītojamo reālais ceļā pavadītais laiks, ceļu infrastruktūras stāvoklis un sezonālie apstākļi, kas būtiski ierobežo alternatīvu izglītības iestāžu sasniedzamību.</w:t>
            </w:r>
            <w:r w:rsidRPr="00B60CDA">
              <w:rPr>
                <w:sz w:val="24"/>
                <w:szCs w:val="24"/>
              </w:rPr>
              <w:br/>
              <w:t>Vienlaikus netiek ņemta vērā Dignājas pamatskolas funkcionālā nozīme vietējās kopienas pastāvēšanā, reģionālās identitātes uzturēšanā un nemateriālā kultūras mantojuma pārmantošanā, kas ir nozīmīgs sabiedrības intereses aspekts un atbilst ilgtspējīgas reģionālās attīstības principam.</w:t>
            </w:r>
            <w:r w:rsidRPr="00B60CDA">
              <w:rPr>
                <w:sz w:val="24"/>
                <w:szCs w:val="24"/>
              </w:rPr>
              <w:br/>
              <w:t>Dignājas pamatskolas neiekļaušana izglītības iestāžu ar augstu pieejamības risku sarakstā var radīt nesamērīgu negatīvu ietekmi uz izglītības pieejamību lauku teritorijā, izglītojamo labbūtību un Sēlijas vēsturiskās zemes attīstības plānošanas dokumentos noteikto mērķu īstenošanu.</w:t>
            </w:r>
            <w:r w:rsidRPr="00B60CDA">
              <w:rPr>
                <w:sz w:val="24"/>
                <w:szCs w:val="24"/>
              </w:rPr>
              <w:br/>
              <w:t>Līdz ar to iebilstam pret noteikumu projekta 3. pielikumā ietverto izglītības iestāžu sarakstu un lūdzam to precizēt, iekļaujot Dignājas pamatskolu kā izglītības iestādi ar augstu pieejamības risku.</w:t>
            </w:r>
            <w:r w:rsidRPr="00B60CDA">
              <w:rPr>
                <w:sz w:val="24"/>
                <w:szCs w:val="24"/>
              </w:rPr>
              <w:br/>
            </w:r>
          </w:p>
        </w:tc>
        <w:tc>
          <w:tcPr>
            <w:tcW w:w="1650" w:type="dxa"/>
            <w:shd w:val="clear" w:color="auto" w:fill="FFFFFF"/>
            <w:noWrap/>
            <w:tcMar>
              <w:top w:w="75" w:type="dxa"/>
              <w:left w:w="75" w:type="dxa"/>
              <w:bottom w:w="75" w:type="dxa"/>
              <w:right w:w="75" w:type="dxa"/>
            </w:tcMar>
          </w:tcPr>
          <w:p w14:paraId="5CF1752C" w14:textId="0603EE93" w:rsidR="00B93717" w:rsidRPr="00B60CDA" w:rsidRDefault="00B60CDA" w:rsidP="0089150E">
            <w:pPr>
              <w:jc w:val="center"/>
              <w:rPr>
                <w:sz w:val="24"/>
                <w:szCs w:val="24"/>
              </w:rPr>
            </w:pPr>
            <w:r w:rsidRPr="00B60CDA">
              <w:rPr>
                <w:sz w:val="24"/>
                <w:szCs w:val="24"/>
              </w:rPr>
              <w:lastRenderedPageBreak/>
              <w:t>Nav ņemts vērā</w:t>
            </w:r>
          </w:p>
        </w:tc>
        <w:tc>
          <w:tcPr>
            <w:tcW w:w="4056" w:type="dxa"/>
            <w:shd w:val="clear" w:color="auto" w:fill="FFFFFF"/>
            <w:noWrap/>
            <w:tcMar>
              <w:top w:w="75" w:type="dxa"/>
              <w:left w:w="75" w:type="dxa"/>
              <w:bottom w:w="75" w:type="dxa"/>
              <w:right w:w="75" w:type="dxa"/>
            </w:tcMar>
          </w:tcPr>
          <w:p w14:paraId="1F4C5B64" w14:textId="39CBA56F" w:rsidR="00B60CDA" w:rsidRPr="00B60CDA" w:rsidRDefault="00B60CDA" w:rsidP="00B60CDA">
            <w:pPr>
              <w:pStyle w:val="NormalWeb"/>
              <w:rPr>
                <w:color w:val="333333"/>
                <w:lang w:val="lv-LV"/>
              </w:rPr>
            </w:pPr>
            <w:r w:rsidRPr="00B60CDA">
              <w:rPr>
                <w:color w:val="333333"/>
                <w:lang w:val="lv-LV"/>
              </w:rPr>
              <w:t>A</w:t>
            </w:r>
            <w:r w:rsidRPr="00B60CDA">
              <w:rPr>
                <w:color w:val="333333"/>
                <w:lang w:val="lv-LV"/>
              </w:rPr>
              <w:t>ugsta pieejamības riska identificēšana noteikumu projektā tiek veikta, balstoties uz vienotu, objektīvu un visā valstī konsekventi piemērojamu metodoloģiju.</w:t>
            </w:r>
          </w:p>
          <w:p w14:paraId="50860E4A" w14:textId="66CD7EF6" w:rsidR="00B60CDA" w:rsidRPr="00B60CDA" w:rsidRDefault="00B60CDA" w:rsidP="00B60CDA">
            <w:pPr>
              <w:pStyle w:val="NormalWeb"/>
              <w:rPr>
                <w:color w:val="333333"/>
                <w:lang w:val="lv-LV"/>
              </w:rPr>
            </w:pPr>
            <w:r w:rsidRPr="00B60CDA">
              <w:rPr>
                <w:color w:val="333333"/>
                <w:lang w:val="lv-LV"/>
              </w:rPr>
              <w:lastRenderedPageBreak/>
              <w:t xml:space="preserve">Pieejamības izvērtējums tiek veikts, izmantojot starptautiski validētu metodoloģiju </w:t>
            </w:r>
            <w:r w:rsidRPr="00B60CDA">
              <w:rPr>
                <w:i/>
                <w:iCs/>
                <w:color w:val="333333"/>
                <w:lang w:val="lv-LV"/>
              </w:rPr>
              <w:t>(global travel impedance grid)</w:t>
            </w:r>
            <w:r w:rsidRPr="00B60CDA">
              <w:rPr>
                <w:color w:val="333333"/>
                <w:lang w:val="lv-LV"/>
              </w:rPr>
              <w:t xml:space="preserve">, kurā tiek ņemti vērā ceļu tīkls, reljefs, seguma veids un citi kustības ātrumu ietekmējoši faktori. </w:t>
            </w:r>
          </w:p>
          <w:p w14:paraId="41DF04D9" w14:textId="77777777" w:rsidR="00B60CDA" w:rsidRPr="00B60CDA" w:rsidRDefault="00B60CDA" w:rsidP="00B60CDA">
            <w:pPr>
              <w:pStyle w:val="NormalWeb"/>
              <w:rPr>
                <w:color w:val="333333"/>
                <w:lang w:val="lv-LV"/>
              </w:rPr>
            </w:pPr>
            <w:r w:rsidRPr="00B60CDA">
              <w:rPr>
                <w:color w:val="333333"/>
                <w:lang w:val="lv-LV"/>
              </w:rPr>
              <w:t>Augsts pieejamības risks tiek identificēts tikai tad, ja atbilstoši šai vienotajai metodoloģijai ceļā pavadītais laiks līdz nākamajai attiecīgās pakāpes izglītības iestādei pārsniedz noteikto slieksni. Šāda pieeja nodrošina vienlīdzīgu attieksmi pret visām izglītības iestādēm un novērš atšķirīgu interpretāciju risku.</w:t>
            </w:r>
          </w:p>
          <w:p w14:paraId="23C9DC1D" w14:textId="77777777" w:rsidR="00B60CDA" w:rsidRPr="00B60CDA" w:rsidRDefault="00B60CDA" w:rsidP="00B60CDA">
            <w:pPr>
              <w:pStyle w:val="NormalWeb"/>
              <w:rPr>
                <w:color w:val="333333"/>
                <w:lang w:val="lv-LV"/>
              </w:rPr>
            </w:pPr>
            <w:r w:rsidRPr="00B60CDA">
              <w:rPr>
                <w:color w:val="333333"/>
                <w:lang w:val="lv-LV"/>
              </w:rPr>
              <w:t>Argumenti par skolas funkcionālo nozīmi kopienā, reģionālās identitātes stiprināšanu un teritorijas attīstību ir būtiski pašvaldības izglītības ekosistēmas plānošanā. Tomēr augsta pieejamības riska identificēšana noteikumu projektā balstās tikai uz objektīvi izmērāmiem teritoriālās sasniedzamības kritērijiem. Sociāli, kultūrvēsturiski un attīstības aspekti netiek ignorēti, taču tie nav kritērijs valsts finansējuma diferencēšanai šajā regulējumā.</w:t>
            </w:r>
          </w:p>
          <w:p w14:paraId="36290D20" w14:textId="55332D27" w:rsidR="00B93717" w:rsidRPr="00B60CDA" w:rsidRDefault="00B60CDA" w:rsidP="00B60CDA">
            <w:pPr>
              <w:pStyle w:val="NormalWeb"/>
              <w:rPr>
                <w:color w:val="333333"/>
                <w:lang w:val="lv-LV"/>
              </w:rPr>
            </w:pPr>
            <w:r w:rsidRPr="00B60CDA">
              <w:rPr>
                <w:color w:val="333333"/>
                <w:lang w:val="lv-LV"/>
              </w:rPr>
              <w:lastRenderedPageBreak/>
              <w:t>Vienlaikus jāuzsver, ka regulējums neparedz automātisku izglītības iestādes reorganizāciju. Atbildība par skolu tīkla plānošanu un konkrētu lēmumu pieņemšanu ir dibinātāja kompetencē. Ja dibinātājs uzskata izglītības iestādi par būtisku reģionālās attīstības un pieejamības nodrošināšanas kontekstā, tas var lemt par tās saglabāšanu, uzņemoties attiecīgu līdzfinansējuma apjomu gadījumos, kad netiek sasniegti valsts noteiktie kvantitatīvie rādītāji.</w:t>
            </w:r>
          </w:p>
        </w:tc>
      </w:tr>
      <w:tr w:rsidR="00B93717" w:rsidRPr="00B60CDA" w14:paraId="0D3C2DAC" w14:textId="77777777" w:rsidTr="0089150E">
        <w:tc>
          <w:tcPr>
            <w:tcW w:w="750" w:type="dxa"/>
            <w:shd w:val="clear" w:color="auto" w:fill="FFFFFF"/>
            <w:noWrap/>
            <w:tcMar>
              <w:top w:w="75" w:type="dxa"/>
              <w:left w:w="75" w:type="dxa"/>
              <w:bottom w:w="75" w:type="dxa"/>
              <w:right w:w="75" w:type="dxa"/>
            </w:tcMar>
            <w:vAlign w:val="center"/>
          </w:tcPr>
          <w:p w14:paraId="14392B2B" w14:textId="77777777" w:rsidR="00B93717" w:rsidRPr="00B60CDA" w:rsidRDefault="00000000">
            <w:pPr>
              <w:jc w:val="center"/>
              <w:rPr>
                <w:sz w:val="24"/>
                <w:szCs w:val="24"/>
              </w:rPr>
            </w:pPr>
            <w:r w:rsidRPr="00B60CDA">
              <w:rPr>
                <w:sz w:val="24"/>
                <w:szCs w:val="24"/>
              </w:rPr>
              <w:lastRenderedPageBreak/>
              <w:t>7.</w:t>
            </w:r>
          </w:p>
        </w:tc>
        <w:tc>
          <w:tcPr>
            <w:tcW w:w="2930" w:type="dxa"/>
            <w:shd w:val="clear" w:color="auto" w:fill="FFFFFF"/>
            <w:noWrap/>
            <w:tcMar>
              <w:top w:w="75" w:type="dxa"/>
              <w:left w:w="75" w:type="dxa"/>
              <w:bottom w:w="75" w:type="dxa"/>
              <w:right w:w="75" w:type="dxa"/>
            </w:tcMar>
            <w:vAlign w:val="center"/>
          </w:tcPr>
          <w:p w14:paraId="7039C8E4" w14:textId="77777777" w:rsidR="00B93717" w:rsidRPr="00B60CDA" w:rsidRDefault="00000000">
            <w:pPr>
              <w:jc w:val="left"/>
              <w:rPr>
                <w:sz w:val="24"/>
                <w:szCs w:val="24"/>
              </w:rPr>
            </w:pPr>
            <w:r w:rsidRPr="00B60CDA">
              <w:rPr>
                <w:sz w:val="24"/>
                <w:szCs w:val="24"/>
              </w:rPr>
              <w:t>Jānis Paškus</w:t>
            </w:r>
          </w:p>
        </w:tc>
        <w:tc>
          <w:tcPr>
            <w:tcW w:w="5181" w:type="dxa"/>
            <w:shd w:val="clear" w:color="auto" w:fill="FFFFFF"/>
            <w:noWrap/>
            <w:tcMar>
              <w:top w:w="75" w:type="dxa"/>
              <w:left w:w="75" w:type="dxa"/>
              <w:bottom w:w="75" w:type="dxa"/>
              <w:right w:w="75" w:type="dxa"/>
            </w:tcMar>
            <w:vAlign w:val="center"/>
          </w:tcPr>
          <w:p w14:paraId="73DCBC79" w14:textId="79FB22E7" w:rsidR="00B93717" w:rsidRPr="00B60CDA" w:rsidRDefault="00000000">
            <w:pPr>
              <w:jc w:val="left"/>
              <w:rPr>
                <w:sz w:val="24"/>
                <w:szCs w:val="24"/>
              </w:rPr>
            </w:pPr>
            <w:r w:rsidRPr="00B60CDA">
              <w:rPr>
                <w:sz w:val="24"/>
                <w:szCs w:val="24"/>
              </w:rPr>
              <w:t>Būdami vecāki ar sievu bērnam, kurš šobrīd apmeklē privātu mācību iestādi un apgūst pirmsskolas kursu, kā arī šogad plānots uzsākt 1.klases apmācību šajā pašā mācību iestādē, kategoriski nepiekrītam izstrādātajiem kvantitatīvajiem rādītājiem un iespējamām šo rādītāju svārstībām. Uzskatām, ka izglītojamo skaits nedrīkst būt kā primāri noteicošais kritērijs, pēc kura vadīties, lai organizētu mācību procesus Latvijas izglītības iestādēs. Nepieciešams ņemt vērā kvalitatīvos rādītājus (pedagogu attieksme pret izglītojamajiem, individuāla pieeja, utt.), nevis kvantitāti.</w:t>
            </w:r>
          </w:p>
        </w:tc>
        <w:tc>
          <w:tcPr>
            <w:tcW w:w="1650" w:type="dxa"/>
            <w:shd w:val="clear" w:color="auto" w:fill="FFFFFF"/>
            <w:noWrap/>
            <w:tcMar>
              <w:top w:w="75" w:type="dxa"/>
              <w:left w:w="75" w:type="dxa"/>
              <w:bottom w:w="75" w:type="dxa"/>
              <w:right w:w="75" w:type="dxa"/>
            </w:tcMar>
          </w:tcPr>
          <w:p w14:paraId="76377281" w14:textId="7E0A7CA5" w:rsidR="00B93717" w:rsidRPr="00B60CDA" w:rsidRDefault="00B60CDA" w:rsidP="0089150E">
            <w:pPr>
              <w:jc w:val="center"/>
              <w:rPr>
                <w:sz w:val="24"/>
                <w:szCs w:val="24"/>
              </w:rPr>
            </w:pPr>
            <w:r>
              <w:rPr>
                <w:sz w:val="24"/>
                <w:szCs w:val="24"/>
              </w:rPr>
              <w:t>Nav ņemts vērā</w:t>
            </w:r>
          </w:p>
        </w:tc>
        <w:tc>
          <w:tcPr>
            <w:tcW w:w="4056" w:type="dxa"/>
            <w:shd w:val="clear" w:color="auto" w:fill="FFFFFF"/>
            <w:noWrap/>
            <w:tcMar>
              <w:top w:w="75" w:type="dxa"/>
              <w:left w:w="75" w:type="dxa"/>
              <w:bottom w:w="75" w:type="dxa"/>
              <w:right w:w="75" w:type="dxa"/>
            </w:tcMar>
          </w:tcPr>
          <w:p w14:paraId="11085CB2" w14:textId="77777777" w:rsidR="00B60CDA" w:rsidRDefault="00B60CDA" w:rsidP="00B60CDA">
            <w:pPr>
              <w:pStyle w:val="NormalWeb"/>
            </w:pPr>
            <w:r>
              <w:t>Ministrija saprot vecāku pausto bažu par izglītības kvalitāti un individuālu pieeju bērniem, īpaši sākumskolas posmā. Vienlaikus jāuzsver, ka noteikumu projektā izglītojamo skaits nav noteikts kā kvalitātes aizstājējs, bet kā kritērijs valsts finansējuma piešķiršanai, lai nodrošinātu ilgtspējīgu, sabalansētu un daudzveidīgu mācību procesu.</w:t>
            </w:r>
          </w:p>
          <w:p w14:paraId="08D8C639" w14:textId="77777777" w:rsidR="00B60CDA" w:rsidRDefault="00B60CDA" w:rsidP="00B60CDA">
            <w:pPr>
              <w:pStyle w:val="NormalWeb"/>
            </w:pPr>
            <w:r>
              <w:t xml:space="preserve">Izglītojamo skaits kļūst būtisks brīdī, kad tiek veidots pilnvērtīgs izglītības piedāvājums – iespēja nodrošināt dažādas mācību metodes, grupu darbu, savstarpējo sadarbību, interešu izglītību, atbalsta personālu un pedagogu specializāciju. Pārāk neliels skolēnu skaits klasē (piemēram, 2–4 izglītojamie) var ierobežot sociālās </w:t>
            </w:r>
            <w:r>
              <w:lastRenderedPageBreak/>
              <w:t>mijiedarbības iespējas, vienaudžu mācīšanos un daudzveidīgu pedagoģisko pieeju īstenošanu. Līdz ar to kvantitatīvie rādītāji ir saistīti ar izglītības procesa kvalitātes un ilgtspējas nodrošināšanu sistēmas līmenī.</w:t>
            </w:r>
          </w:p>
          <w:p w14:paraId="7F393CF7" w14:textId="77777777" w:rsidR="00B60CDA" w:rsidRDefault="00B60CDA" w:rsidP="00B60CDA">
            <w:pPr>
              <w:pStyle w:val="NormalWeb"/>
            </w:pPr>
            <w:r>
              <w:t>Vienlaikus ministrija neuzstāj uz lielu klašu veidošanu un regulējums neaizliedz mazāku klašu pastāvēšanu. Noteikumu projekts paredz arī elastības mehānismus, tostarp iespēju saņemt proporcionālu finansējumu gadījumos, kad izglītojamo skaits nesasniedz noteikto kvantitatīvo rādītāju, bet pārsniedz minimālo slieksni. Tas nozīmē, ka mazākas klases ir iespējamas, taču valsts līdzdalība finansējumā tiek sabalansēta ar faktisko izglītojamo skaitu.</w:t>
            </w:r>
          </w:p>
          <w:p w14:paraId="51E4BBC7" w14:textId="77777777" w:rsidR="00B60CDA" w:rsidRDefault="00B60CDA" w:rsidP="00B60CDA">
            <w:pPr>
              <w:pStyle w:val="NormalWeb"/>
            </w:pPr>
            <w:r>
              <w:t xml:space="preserve">Svarīgi uzsvērt, ka regulējums neierobežo izglītības iestādes pedagoģisko pieeju, individuālu darbu ar bērnu vai alternatīvu mācību modeļu īstenošanu. Tas nosaka tikai valsts budžeta līdzdalības principus pedagogu darba samaksā. Izglītības kvalitāti turpina noteikt valsts izglītības standarti, pedagogu profesionālā kompetence un </w:t>
            </w:r>
            <w:r>
              <w:lastRenderedPageBreak/>
              <w:t>izglītības iestādes iekšējās kvalitātes nodrošināšanas sistēma.</w:t>
            </w:r>
          </w:p>
          <w:p w14:paraId="4F049849" w14:textId="77777777" w:rsidR="00B60CDA" w:rsidRDefault="00B60CDA" w:rsidP="00B60CDA">
            <w:pPr>
              <w:pStyle w:val="NormalWeb"/>
            </w:pPr>
            <w:r>
              <w:t>Tādējādi kvantitatīvie rādītāji nav pretrunā ar kvalitatīvas un individuāli orientētas izglītības nodrošināšanu, bet kalpo kā instruments sabalansētai un ilgtspējīgai valsts finansējuma plānošanai.</w:t>
            </w:r>
          </w:p>
          <w:p w14:paraId="4830A524" w14:textId="77777777" w:rsidR="00B93717" w:rsidRPr="00B60CDA" w:rsidRDefault="00B93717" w:rsidP="0089150E">
            <w:pPr>
              <w:jc w:val="left"/>
              <w:rPr>
                <w:sz w:val="24"/>
                <w:szCs w:val="24"/>
              </w:rPr>
            </w:pPr>
          </w:p>
        </w:tc>
      </w:tr>
      <w:tr w:rsidR="00B93717" w:rsidRPr="00B60CDA" w14:paraId="1A4B2190" w14:textId="77777777" w:rsidTr="0089150E">
        <w:tc>
          <w:tcPr>
            <w:tcW w:w="750" w:type="dxa"/>
            <w:shd w:val="clear" w:color="auto" w:fill="FFFFFF"/>
            <w:noWrap/>
            <w:tcMar>
              <w:top w:w="75" w:type="dxa"/>
              <w:left w:w="75" w:type="dxa"/>
              <w:bottom w:w="75" w:type="dxa"/>
              <w:right w:w="75" w:type="dxa"/>
            </w:tcMar>
            <w:vAlign w:val="center"/>
          </w:tcPr>
          <w:p w14:paraId="58B0DFEC" w14:textId="77777777" w:rsidR="00B93717" w:rsidRPr="00B60CDA" w:rsidRDefault="00000000">
            <w:pPr>
              <w:jc w:val="center"/>
              <w:rPr>
                <w:sz w:val="24"/>
                <w:szCs w:val="24"/>
              </w:rPr>
            </w:pPr>
            <w:r w:rsidRPr="00B60CDA">
              <w:rPr>
                <w:sz w:val="24"/>
                <w:szCs w:val="24"/>
              </w:rPr>
              <w:lastRenderedPageBreak/>
              <w:t>8.</w:t>
            </w:r>
          </w:p>
        </w:tc>
        <w:tc>
          <w:tcPr>
            <w:tcW w:w="2930" w:type="dxa"/>
            <w:shd w:val="clear" w:color="auto" w:fill="FFFFFF"/>
            <w:noWrap/>
            <w:tcMar>
              <w:top w:w="75" w:type="dxa"/>
              <w:left w:w="75" w:type="dxa"/>
              <w:bottom w:w="75" w:type="dxa"/>
              <w:right w:w="75" w:type="dxa"/>
            </w:tcMar>
            <w:vAlign w:val="center"/>
          </w:tcPr>
          <w:p w14:paraId="148B42AB" w14:textId="77777777" w:rsidR="00B93717" w:rsidRPr="00B60CDA" w:rsidRDefault="00000000">
            <w:pPr>
              <w:jc w:val="left"/>
              <w:rPr>
                <w:sz w:val="24"/>
                <w:szCs w:val="24"/>
              </w:rPr>
            </w:pPr>
            <w:r w:rsidRPr="00B60CDA">
              <w:rPr>
                <w:sz w:val="24"/>
                <w:szCs w:val="24"/>
              </w:rPr>
              <w:t>Biedrība "OPEN Radošais Centrs", Edijs Klaišis</w:t>
            </w:r>
          </w:p>
        </w:tc>
        <w:tc>
          <w:tcPr>
            <w:tcW w:w="5181" w:type="dxa"/>
            <w:shd w:val="clear" w:color="auto" w:fill="FFFFFF"/>
            <w:noWrap/>
            <w:tcMar>
              <w:top w:w="75" w:type="dxa"/>
              <w:left w:w="75" w:type="dxa"/>
              <w:bottom w:w="75" w:type="dxa"/>
              <w:right w:w="75" w:type="dxa"/>
            </w:tcMar>
            <w:vAlign w:val="center"/>
          </w:tcPr>
          <w:p w14:paraId="3D895D1C" w14:textId="77777777" w:rsidR="00B93717" w:rsidRPr="00B60CDA" w:rsidRDefault="00000000">
            <w:pPr>
              <w:jc w:val="left"/>
              <w:rPr>
                <w:sz w:val="24"/>
                <w:szCs w:val="24"/>
              </w:rPr>
            </w:pPr>
            <w:r w:rsidRPr="00B60CDA">
              <w:rPr>
                <w:sz w:val="24"/>
                <w:szCs w:val="24"/>
              </w:rPr>
              <w:t xml:space="preserve">Iebildumus centos pievienot vakar, tomēr TAP sistēma nestrādāja, par ko ir informēts attiecīgais e-pasts tap.atbalsts.@mk.gov.lv. Tādēļ </w:t>
            </w:r>
            <w:r w:rsidRPr="00B60CDA">
              <w:rPr>
                <w:b/>
                <w:sz w:val="24"/>
                <w:szCs w:val="24"/>
              </w:rPr>
              <w:t>lūdzu pieņemt, ka iebildumi pievienoti ar 09.02.2026.</w:t>
            </w:r>
            <w:r w:rsidRPr="00B60CDA">
              <w:rPr>
                <w:sz w:val="24"/>
                <w:szCs w:val="24"/>
              </w:rPr>
              <w:br/>
            </w:r>
            <w:r w:rsidRPr="00B60CDA">
              <w:rPr>
                <w:sz w:val="24"/>
                <w:szCs w:val="24"/>
              </w:rPr>
              <w:br/>
            </w:r>
            <w:r w:rsidRPr="00B60CDA">
              <w:rPr>
                <w:b/>
                <w:sz w:val="24"/>
                <w:szCs w:val="24"/>
              </w:rPr>
              <w:t>1. Par noteikumu projekta mērķi un tvērumu </w:t>
            </w:r>
            <w:r w:rsidRPr="00B60CDA">
              <w:rPr>
                <w:sz w:val="24"/>
                <w:szCs w:val="24"/>
              </w:rPr>
              <w:t>(attiecināms uz noteikumu projektu kopumā, īpaši 1. un 2. punktu)</w:t>
            </w:r>
            <w:r w:rsidRPr="00B60CDA">
              <w:rPr>
                <w:sz w:val="24"/>
                <w:szCs w:val="24"/>
              </w:rPr>
              <w:br/>
              <w:t>Kā Biedrība “OPEN Radošais Centrs” dibinātājs vēlos vērst uzmanību, ka šis regulējums nav ņēmis vērā bērnu un jauniešu dažādās sociālo situāciju un dzīves apstākļus. Jaunieši, kuri nonākuši krīzes situācijās, nevar pilnvērtīgi iekļauties tradicionālajā klātienes izglītības modelī. Regulējums, kas neveicina elastīgas izglītības formas, tostarp tālmācības, pieejamību šai mērķgrupai, neatbilst izglītības pieejamības un bērna labāko interešu principam.</w:t>
            </w:r>
            <w:r w:rsidRPr="00B60CDA">
              <w:rPr>
                <w:sz w:val="24"/>
                <w:szCs w:val="24"/>
              </w:rPr>
              <w:br/>
              <w:t xml:space="preserve">Tādēļ aicinu pārskatīt šī likuma projektu un sniegt elastīgāku pieeju tieši tālmācībai, kas mūsu </w:t>
            </w:r>
            <w:r w:rsidRPr="00B60CDA">
              <w:rPr>
                <w:sz w:val="24"/>
                <w:szCs w:val="24"/>
              </w:rPr>
              <w:lastRenderedPageBreak/>
              <w:t>gadījumā, ir bieži pēdējā iespēja jauniešiem atgriezties izglītības sistēmā.</w:t>
            </w:r>
            <w:r w:rsidRPr="00B60CDA">
              <w:rPr>
                <w:sz w:val="24"/>
                <w:szCs w:val="24"/>
              </w:rPr>
              <w:br/>
            </w:r>
            <w:r w:rsidRPr="00B60CDA">
              <w:rPr>
                <w:b/>
                <w:sz w:val="24"/>
                <w:szCs w:val="24"/>
              </w:rPr>
              <w:t>2. Par klašu grupu principu un mācību procesa organizāciju </w:t>
            </w:r>
            <w:r w:rsidRPr="00B60CDA">
              <w:rPr>
                <w:sz w:val="24"/>
                <w:szCs w:val="24"/>
              </w:rPr>
              <w:t>(attiecināms uz 6. punktu un 2. pielikumu)</w:t>
            </w:r>
            <w:r w:rsidRPr="00B60CDA">
              <w:rPr>
                <w:sz w:val="24"/>
                <w:szCs w:val="24"/>
              </w:rPr>
              <w:br/>
              <w:t>Apskatot MK noteikumu projektu, ir noprotams, ka šis topošais regulējums neņem vērā to jauniešu specifiku, kuri apvieno mācības ar darbu vai kuri atrodas psihosociāli nestabilā situācijā. Jauniešiem no krīzes situācijām ir nepieciešams elastīgs mācību grafiks, individuāls temps un pastiprināts pedagoga atbalsts. Liels izglītojamo skaits vienā klašu grupā samazina pedagoga iespējas sniegt individuālu uzmanību, kas šai jauniešu grupai ir kritiski svarīgi. Uzskatu, ka šis regulējums ir nepārdomāts un sasteigts.</w:t>
            </w:r>
            <w:r w:rsidRPr="00B60CDA">
              <w:rPr>
                <w:sz w:val="24"/>
                <w:szCs w:val="24"/>
              </w:rPr>
              <w:br/>
              <w:t>Tādēļ lūdzam pārskatīt MK noteikumu projektu no sākuma, iesaistot gan izglītības iestādes, gan iestādes kā “OPEN Radošais Centrs”, jo liels jauniešu skaits klasē (saprotu, ka klasē ir jābūt 40 jauniešiem, lai pedagogs saņemtu algu) nepalīdzēs atgriezt sistēmā “pazudušos sistēmas bērnus”.</w:t>
            </w:r>
            <w:r w:rsidRPr="00B60CDA">
              <w:rPr>
                <w:sz w:val="24"/>
                <w:szCs w:val="24"/>
              </w:rPr>
              <w:br/>
            </w:r>
            <w:r w:rsidRPr="00B60CDA">
              <w:rPr>
                <w:b/>
                <w:sz w:val="24"/>
                <w:szCs w:val="24"/>
              </w:rPr>
              <w:t>3. Par tālmācības nozīmi sociāli mazaizsargātiem jauniešiem </w:t>
            </w:r>
            <w:r w:rsidRPr="00B60CDA">
              <w:rPr>
                <w:sz w:val="24"/>
                <w:szCs w:val="24"/>
              </w:rPr>
              <w:t>(attiecināms uz 3.10. apakšpunktu un 2. pielikumu)</w:t>
            </w:r>
            <w:r w:rsidRPr="00B60CDA">
              <w:rPr>
                <w:sz w:val="24"/>
                <w:szCs w:val="24"/>
              </w:rPr>
              <w:br/>
              <w:t xml:space="preserve">Tālmācība jauniešiem, kuri spiesti strādāt, mainīt dzīvesvietu vai atjaunot dzīvi pēc krīzes situācijām, ir nevis izvēles ērtība, bet būtisks sociālās integrācijas instruments. Vienotas tālmācības grupas piemērošana, neņemot vērā sociālā riska grupu specifiku, apdraud šādu jauniešu iespējas </w:t>
            </w:r>
            <w:r w:rsidRPr="00B60CDA">
              <w:rPr>
                <w:sz w:val="24"/>
                <w:szCs w:val="24"/>
              </w:rPr>
              <w:lastRenderedPageBreak/>
              <w:t>pabeigt izglītību un veiksmīgi integrēties sabiedrībā.</w:t>
            </w:r>
            <w:r w:rsidRPr="00B60CDA">
              <w:rPr>
                <w:sz w:val="24"/>
                <w:szCs w:val="24"/>
              </w:rPr>
              <w:br/>
              <w:t>Uzskatām, ka 120 skolēnu skaits vienā klašu grupā ir nesamērīgs un nepamatots, tādēļ lūdzam samazināt skolēnu skaitu vienā klašu grupā.</w:t>
            </w:r>
          </w:p>
        </w:tc>
        <w:tc>
          <w:tcPr>
            <w:tcW w:w="1650" w:type="dxa"/>
            <w:shd w:val="clear" w:color="auto" w:fill="FFFFFF"/>
            <w:noWrap/>
            <w:tcMar>
              <w:top w:w="75" w:type="dxa"/>
              <w:left w:w="75" w:type="dxa"/>
              <w:bottom w:w="75" w:type="dxa"/>
              <w:right w:w="75" w:type="dxa"/>
            </w:tcMar>
          </w:tcPr>
          <w:p w14:paraId="59C5BD7B" w14:textId="24A1EF8B" w:rsidR="00B93717" w:rsidRPr="00B60CDA" w:rsidRDefault="00966737" w:rsidP="0089150E">
            <w:pPr>
              <w:jc w:val="center"/>
              <w:rPr>
                <w:sz w:val="24"/>
                <w:szCs w:val="24"/>
              </w:rPr>
            </w:pPr>
            <w:r>
              <w:rPr>
                <w:sz w:val="24"/>
                <w:szCs w:val="24"/>
              </w:rPr>
              <w:lastRenderedPageBreak/>
              <w:t>Nav ņemts vērā</w:t>
            </w:r>
          </w:p>
        </w:tc>
        <w:tc>
          <w:tcPr>
            <w:tcW w:w="4056" w:type="dxa"/>
            <w:shd w:val="clear" w:color="auto" w:fill="FFFFFF"/>
            <w:noWrap/>
            <w:tcMar>
              <w:top w:w="75" w:type="dxa"/>
              <w:left w:w="75" w:type="dxa"/>
              <w:bottom w:w="75" w:type="dxa"/>
              <w:right w:w="75" w:type="dxa"/>
            </w:tcMar>
          </w:tcPr>
          <w:p w14:paraId="2B08504E" w14:textId="34362D28" w:rsidR="00966737" w:rsidRDefault="00966737" w:rsidP="00966737">
            <w:pPr>
              <w:pStyle w:val="NormalWeb"/>
            </w:pPr>
            <w:r>
              <w:t xml:space="preserve">1. un 3.punkts. </w:t>
            </w:r>
            <w:r>
              <w:t>Tālmācībai noteiktie augstākie kvantitatīvie rādītāji ir pamatoti ar atšķirīgu izmaksu un organizācijas struktūru. Atšķirībā no klātienes izglītības tālmācībā nav nepieciešama pastāvīga fiziskā infrastruktūra katram izglītojamajam (mācību telpas, komunālie izdevumi, uzturēšanas personāls u.c. izmaksas). Tālmācības modelī mācību process tiek organizēts centralizētāk, bieži izmantojot digitālus resursus, un pedagoga darbs netiek nodrošināts klasiskā vienlaicīgas klātienes mācīšanas formā. Līdz ar to viena pedagoga darba organizācija un finansēšanas struktūra objektīvi atšķiras no klātienes izglītības.</w:t>
            </w:r>
          </w:p>
          <w:p w14:paraId="4E1CB2F1" w14:textId="77777777" w:rsidR="00966737" w:rsidRDefault="00966737" w:rsidP="00966737">
            <w:pPr>
              <w:pStyle w:val="NormalWeb"/>
            </w:pPr>
            <w:r>
              <w:lastRenderedPageBreak/>
              <w:t>Izvērtējot tālmācību pārstāvošās organizācijas priekšlikumu par izglītojamo skaita pieļaujamās svārstības piemērošanu arī tālmācības programmām, ministrija ir precizējusi regulējumu, paredzot līdzīgu pieeju kā klātienes izglītības iestādēm.</w:t>
            </w:r>
          </w:p>
          <w:p w14:paraId="353A1195" w14:textId="79235D96" w:rsidR="00966737" w:rsidRDefault="00966737" w:rsidP="00966737">
            <w:pPr>
              <w:pStyle w:val="NormalWeb"/>
            </w:pPr>
            <w:r>
              <w:t>Līdz ar to tālmācībā tiek piemērota izglītojamo skaita svārstība no noteiktā kvantitatīvā rādītāja, analoģiski kā citās klašu grupās – proti, 1.–3. un 4.–6. klašu grupās pieļaujama svārstība 25 procentu apmērā (noapaļojot uz leju), savukārt 7.–9. un 10.–12. klašu grupās – 10 procentu apmērā.</w:t>
            </w:r>
          </w:p>
          <w:p w14:paraId="4A033D15" w14:textId="123457F7" w:rsidR="00966737" w:rsidRDefault="00966737" w:rsidP="00966737">
            <w:pPr>
              <w:pStyle w:val="NormalWeb"/>
            </w:pPr>
            <w:r>
              <w:t xml:space="preserve">2.punkts. </w:t>
            </w:r>
            <w:r>
              <w:t>Ministrija saprot pausto bažu par individuāla atbalsta nozīmi jauniešiem, kuri atrodas krīzes vai psihosociāli nestabilā situācijā. Vienlaikus nepieciešams precizēt, ka publiskajā telpā izskanējušais apgalvojums, ka regulējums paredz 40 izglītojamos vienā klasē, neatbilst noteikumu projekta saturam.</w:t>
            </w:r>
          </w:p>
          <w:p w14:paraId="794B3414" w14:textId="5E0EC94D" w:rsidR="00966737" w:rsidRDefault="00966737" w:rsidP="00966737">
            <w:pPr>
              <w:pStyle w:val="NormalWeb"/>
            </w:pPr>
            <w:r>
              <w:t xml:space="preserve">Noteikumu projektā nav noteikts, ka klasē obligāti jābūt 40 izglītojamajiem. Kvantitatīvie rādītāji attiecas uz klašu grupas finansēšanas aprēķina vienību, </w:t>
            </w:r>
            <w:r>
              <w:lastRenderedPageBreak/>
              <w:t>un tie atšķiras atkarībā no urbanizācijas līmeņa un konkrētās izglītības pakāpes. Praksē, ievērojot pieļaujamās svārstības un īpašos gadījumus, vidējais izglītojamo skaits klasē svārst</w:t>
            </w:r>
            <w:r>
              <w:t>īsie</w:t>
            </w:r>
            <w:r>
              <w:t>s aptuveni no 10 (</w:t>
            </w:r>
            <w:r>
              <w:t>bet</w:t>
            </w:r>
            <w:r>
              <w:t xml:space="preserve"> ne mazāk kā 5) līdz 20 (</w:t>
            </w:r>
            <w:r>
              <w:t>bet</w:t>
            </w:r>
            <w:r>
              <w:t xml:space="preserve"> ne mazāk kā 10)</w:t>
            </w:r>
            <w:r>
              <w:t>.</w:t>
            </w:r>
          </w:p>
          <w:p w14:paraId="5519E138" w14:textId="2D481574" w:rsidR="00966737" w:rsidRDefault="00966737" w:rsidP="00966737">
            <w:pPr>
              <w:pStyle w:val="NormalWeb"/>
            </w:pPr>
            <w:r>
              <w:t>Būtiski uzsvērt, ka regulējums nenosaka obligātu klases lielumu un neuzliek pienākumu veidot lielas klases.</w:t>
            </w:r>
            <w:r>
              <w:t xml:space="preserve"> </w:t>
            </w:r>
            <w:r>
              <w:t>Izglītības iestādes dibinātājs un pati iestāde saglabā pilnīgu autonomiju mācību procesa organizācijā – iespējams veidot gan mazākas, gan lielākas klases, nodrošināt individuālas konsultācijas vai elastīgu mācību grafiku.</w:t>
            </w:r>
          </w:p>
          <w:p w14:paraId="12030E60" w14:textId="60A170C0" w:rsidR="00B93717" w:rsidRPr="00B60CDA" w:rsidRDefault="00B93717" w:rsidP="00966737">
            <w:pPr>
              <w:pStyle w:val="NormalWeb"/>
            </w:pPr>
          </w:p>
        </w:tc>
      </w:tr>
      <w:tr w:rsidR="00B93717" w:rsidRPr="00B60CDA" w14:paraId="584C46AA" w14:textId="77777777" w:rsidTr="0089150E">
        <w:tc>
          <w:tcPr>
            <w:tcW w:w="750" w:type="dxa"/>
            <w:shd w:val="clear" w:color="auto" w:fill="FFFFFF"/>
            <w:noWrap/>
            <w:tcMar>
              <w:top w:w="75" w:type="dxa"/>
              <w:left w:w="75" w:type="dxa"/>
              <w:bottom w:w="75" w:type="dxa"/>
              <w:right w:w="75" w:type="dxa"/>
            </w:tcMar>
            <w:vAlign w:val="center"/>
          </w:tcPr>
          <w:p w14:paraId="4F535CFD" w14:textId="77777777" w:rsidR="00B93717" w:rsidRPr="00B60CDA" w:rsidRDefault="00000000">
            <w:pPr>
              <w:jc w:val="center"/>
              <w:rPr>
                <w:sz w:val="24"/>
                <w:szCs w:val="24"/>
              </w:rPr>
            </w:pPr>
            <w:r w:rsidRPr="00B60CDA">
              <w:rPr>
                <w:sz w:val="24"/>
                <w:szCs w:val="24"/>
              </w:rPr>
              <w:lastRenderedPageBreak/>
              <w:t>9.</w:t>
            </w:r>
          </w:p>
        </w:tc>
        <w:tc>
          <w:tcPr>
            <w:tcW w:w="2930" w:type="dxa"/>
            <w:shd w:val="clear" w:color="auto" w:fill="FFFFFF"/>
            <w:noWrap/>
            <w:tcMar>
              <w:top w:w="75" w:type="dxa"/>
              <w:left w:w="75" w:type="dxa"/>
              <w:bottom w:w="75" w:type="dxa"/>
              <w:right w:w="75" w:type="dxa"/>
            </w:tcMar>
            <w:vAlign w:val="center"/>
          </w:tcPr>
          <w:p w14:paraId="4C234148" w14:textId="77777777" w:rsidR="00B93717" w:rsidRPr="00B60CDA" w:rsidRDefault="00000000">
            <w:pPr>
              <w:jc w:val="left"/>
              <w:rPr>
                <w:sz w:val="24"/>
                <w:szCs w:val="24"/>
              </w:rPr>
            </w:pPr>
            <w:r w:rsidRPr="00B60CDA">
              <w:rPr>
                <w:sz w:val="24"/>
                <w:szCs w:val="24"/>
              </w:rPr>
              <w:t>Skolnieku vecāki, Reinis Balodis</w:t>
            </w:r>
          </w:p>
        </w:tc>
        <w:tc>
          <w:tcPr>
            <w:tcW w:w="5181" w:type="dxa"/>
            <w:shd w:val="clear" w:color="auto" w:fill="FFFFFF"/>
            <w:noWrap/>
            <w:tcMar>
              <w:top w:w="75" w:type="dxa"/>
              <w:left w:w="75" w:type="dxa"/>
              <w:bottom w:w="75" w:type="dxa"/>
              <w:right w:w="75" w:type="dxa"/>
            </w:tcMar>
            <w:vAlign w:val="center"/>
          </w:tcPr>
          <w:p w14:paraId="7F8C4C28" w14:textId="77777777" w:rsidR="00B93717" w:rsidRPr="00B60CDA" w:rsidRDefault="00000000">
            <w:pPr>
              <w:jc w:val="left"/>
              <w:rPr>
                <w:sz w:val="24"/>
                <w:szCs w:val="24"/>
              </w:rPr>
            </w:pPr>
            <w:r w:rsidRPr="00B60CDA">
              <w:rPr>
                <w:sz w:val="24"/>
                <w:szCs w:val="24"/>
              </w:rPr>
              <w:t>Par Ministru kabineta noteikumu projektu “Kritēriji un kārtība, kādā valsts piedalās pedagogu darba samaksas finansēšanā vispārējās pamatizglītības un vispārējās vidējās izglītības pakāpē” (turpmāk – noteikumu projekts). (26-TA-193):</w:t>
            </w:r>
            <w:r w:rsidRPr="00B60CDA">
              <w:rPr>
                <w:sz w:val="24"/>
                <w:szCs w:val="24"/>
              </w:rPr>
              <w:br/>
            </w:r>
            <w:r w:rsidRPr="00B60CDA">
              <w:rPr>
                <w:sz w:val="24"/>
                <w:szCs w:val="24"/>
              </w:rPr>
              <w:br/>
            </w:r>
            <w:r w:rsidRPr="00B60CDA">
              <w:rPr>
                <w:b/>
                <w:sz w:val="24"/>
                <w:szCs w:val="24"/>
              </w:rPr>
              <w:t>Iebildums</w:t>
            </w:r>
            <w:r w:rsidRPr="00B60CDA">
              <w:rPr>
                <w:sz w:val="24"/>
                <w:szCs w:val="24"/>
              </w:rPr>
              <w:t xml:space="preserve"> - nav pamatots skaidrojums, kāpēc par izglītības pieejamības attālumu un ceļā pavadīto laiku tiek uzskatīts attālums iestāde - iestāde,sabiedrībai, šī noteikumu projekta ietvaros, </w:t>
            </w:r>
            <w:r w:rsidRPr="00B60CDA">
              <w:rPr>
                <w:sz w:val="24"/>
                <w:szCs w:val="24"/>
              </w:rPr>
              <w:lastRenderedPageBreak/>
              <w:t>nav pieejama detalizēta un caurskatāma informācija par veiktajiem aprēķiniem un to rezultātiem veicot ceļā pavadītā laika aprēķinus. </w:t>
            </w:r>
            <w:r w:rsidRPr="00B60CDA">
              <w:rPr>
                <w:sz w:val="24"/>
                <w:szCs w:val="24"/>
              </w:rPr>
              <w:br/>
            </w:r>
            <w:r w:rsidRPr="00B60CDA">
              <w:rPr>
                <w:b/>
                <w:sz w:val="24"/>
                <w:szCs w:val="24"/>
              </w:rPr>
              <w:t>Priekšlikums</w:t>
            </w:r>
            <w:r w:rsidRPr="00B60CDA">
              <w:rPr>
                <w:sz w:val="24"/>
                <w:szCs w:val="24"/>
              </w:rPr>
              <w:t xml:space="preserve"> - Projektam kā pielikumu pievienot datu matricu ar aprēķinātajiem ceļā pavadītajiem laikiem.</w:t>
            </w:r>
            <w:r w:rsidRPr="00B60CDA">
              <w:rPr>
                <w:sz w:val="24"/>
                <w:szCs w:val="24"/>
              </w:rPr>
              <w:br/>
            </w:r>
            <w:r w:rsidRPr="00B60CDA">
              <w:rPr>
                <w:sz w:val="24"/>
                <w:szCs w:val="24"/>
              </w:rPr>
              <w:br/>
            </w:r>
            <w:r w:rsidRPr="00B60CDA">
              <w:rPr>
                <w:b/>
                <w:sz w:val="24"/>
                <w:szCs w:val="24"/>
              </w:rPr>
              <w:t>Iebildums</w:t>
            </w:r>
            <w:r w:rsidRPr="00B60CDA">
              <w:rPr>
                <w:sz w:val="24"/>
                <w:szCs w:val="24"/>
              </w:rPr>
              <w:t xml:space="preserve"> -  Ceļā pavadītais laiks tiek aprēķināts tikai no 2025. gadā esošajām izglītības iestādēm, nevērtējot, ka skolu tīkla reorganizācija un optimizācija ir tikusi virzīta nepārtraukti vairāku gadu garumā periodiski slēdzot vairākas mācību iestādes un palielinot ģeogrāfisko pārklājumu, kurā tās nodrošina izglītības pieejamību, ko nosaka Satversme. </w:t>
            </w:r>
            <w:r w:rsidRPr="00B60CDA">
              <w:rPr>
                <w:sz w:val="24"/>
                <w:szCs w:val="24"/>
              </w:rPr>
              <w:br/>
            </w:r>
            <w:r w:rsidRPr="00B60CDA">
              <w:rPr>
                <w:b/>
                <w:sz w:val="24"/>
                <w:szCs w:val="24"/>
              </w:rPr>
              <w:t>Priekšlikums</w:t>
            </w:r>
            <w:r w:rsidRPr="00B60CDA">
              <w:rPr>
                <w:sz w:val="24"/>
                <w:szCs w:val="24"/>
              </w:rPr>
              <w:t xml:space="preserve"> - Veicot ceļā pavadīto laiku un nosakot skolas ar augstu pieejamības risku ir jāvērtē attālumi ne tikai starp 2025. gadā esošajām izglītības iestādēm, bet jāvērtē ari jau slēgtās izglītības iestādes un kas apkalpo šo slēgto skolu teritorijas, cik plašas tās ir un cik liels ceļā pavadītais laiks ir no slēgtās izglītības iestādes līdz šobrīd strādājošajai izglītības iestādei un tālāk tad jaņem vērā, cik ceļā būs jāpavada līdz nākamajai izglītības iestādei, ja šo tagadējo izglītības iestādi slēgs. Pamatizglītībai ir jābūt vienlīdz pieejamai.</w:t>
            </w:r>
            <w:r w:rsidRPr="00B60CDA">
              <w:rPr>
                <w:sz w:val="24"/>
                <w:szCs w:val="24"/>
              </w:rPr>
              <w:br/>
            </w:r>
            <w:r w:rsidRPr="00B60CDA">
              <w:rPr>
                <w:sz w:val="24"/>
                <w:szCs w:val="24"/>
              </w:rPr>
              <w:br/>
            </w:r>
            <w:r w:rsidRPr="00B60CDA">
              <w:rPr>
                <w:b/>
                <w:sz w:val="24"/>
                <w:szCs w:val="24"/>
              </w:rPr>
              <w:t>Iebildums</w:t>
            </w:r>
            <w:r w:rsidRPr="00B60CDA">
              <w:rPr>
                <w:sz w:val="24"/>
                <w:szCs w:val="24"/>
              </w:rPr>
              <w:t xml:space="preserve"> - Vērtējot Jēkabpils novada Dignājas pamatskolas pieejamības statusu nav ņemts vērā fakts, ka skola skolu tīkla optimizācijas ietvaros jau nodrošina pamatizglītības pieejamību ļoti plašā </w:t>
            </w:r>
            <w:r w:rsidRPr="00B60CDA">
              <w:rPr>
                <w:sz w:val="24"/>
                <w:szCs w:val="24"/>
              </w:rPr>
              <w:lastRenderedPageBreak/>
              <w:t>teritorija un veic pamatskolas izglītības pieejamību slēgtajai Dunavas skolai. Rēķinot ceļā pavadīto laiku nav ņemts vērā slēgtās Dunavas skolas faktors.</w:t>
            </w:r>
            <w:r w:rsidRPr="00B60CDA">
              <w:rPr>
                <w:sz w:val="24"/>
                <w:szCs w:val="24"/>
              </w:rPr>
              <w:br/>
            </w:r>
            <w:r w:rsidRPr="00B60CDA">
              <w:rPr>
                <w:b/>
                <w:sz w:val="24"/>
                <w:szCs w:val="24"/>
              </w:rPr>
              <w:t>Priekšlikums</w:t>
            </w:r>
            <w:r w:rsidRPr="00B60CDA">
              <w:rPr>
                <w:sz w:val="24"/>
                <w:szCs w:val="24"/>
              </w:rPr>
              <w:t xml:space="preserve"> - Noteikt Jēkabpils novada Dignājas skolai piejamības izglītības iestādes statusu.</w:t>
            </w:r>
            <w:r w:rsidRPr="00B60CDA">
              <w:rPr>
                <w:sz w:val="24"/>
                <w:szCs w:val="24"/>
              </w:rPr>
              <w:br/>
            </w:r>
            <w:r w:rsidRPr="00B60CDA">
              <w:rPr>
                <w:sz w:val="24"/>
                <w:szCs w:val="24"/>
              </w:rPr>
              <w:br/>
            </w:r>
            <w:r w:rsidRPr="00B60CDA">
              <w:rPr>
                <w:b/>
                <w:sz w:val="24"/>
                <w:szCs w:val="24"/>
              </w:rPr>
              <w:t>Iebildums</w:t>
            </w:r>
            <w:r w:rsidRPr="00B60CDA">
              <w:rPr>
                <w:sz w:val="24"/>
                <w:szCs w:val="24"/>
              </w:rPr>
              <w:t xml:space="preserve"> - sabiedrībai nav pieejami caurskatāms vērtējums par septiņām izglītības iestādēm, kurām noteikti tie paši kvantitatīvie rādītāji kā izglītības iestādēm ar augstu pieejamības risku.</w:t>
            </w:r>
            <w:r w:rsidRPr="00B60CDA">
              <w:rPr>
                <w:sz w:val="24"/>
                <w:szCs w:val="24"/>
              </w:rPr>
              <w:br/>
            </w:r>
            <w:r w:rsidRPr="00B60CDA">
              <w:rPr>
                <w:b/>
                <w:sz w:val="24"/>
                <w:szCs w:val="24"/>
              </w:rPr>
              <w:t>Priekšlikums</w:t>
            </w:r>
            <w:r w:rsidRPr="00B60CDA">
              <w:rPr>
                <w:sz w:val="24"/>
                <w:szCs w:val="24"/>
              </w:rPr>
              <w:t xml:space="preserve"> - Detalizētāk skaidrot noteikuma projekta ietvaros, pēc kādiem kritērijiem, argumentiem un datiem ir piešķirts šis papildus statuss. Vienlīdzības princips jāizmanto vērtējot visas izglītības iestādes, kas atbilst konkrētajiem kritērijiem.</w:t>
            </w:r>
            <w:r w:rsidRPr="00B60CDA">
              <w:rPr>
                <w:sz w:val="24"/>
                <w:szCs w:val="24"/>
              </w:rPr>
              <w:br/>
            </w:r>
            <w:r w:rsidRPr="00B60CDA">
              <w:rPr>
                <w:sz w:val="24"/>
                <w:szCs w:val="24"/>
              </w:rPr>
              <w:br/>
            </w:r>
            <w:r w:rsidRPr="00B60CDA">
              <w:rPr>
                <w:b/>
                <w:sz w:val="24"/>
                <w:szCs w:val="24"/>
              </w:rPr>
              <w:t>Iebildums</w:t>
            </w:r>
            <w:r w:rsidRPr="00B60CDA">
              <w:rPr>
                <w:sz w:val="24"/>
                <w:szCs w:val="24"/>
              </w:rPr>
              <w:t xml:space="preserve"> - Jēkabpils novada Dignājas pamatskola nav iekļauta kā astotā izglītības iestāde, kurai piemērojami kvantitatīvie rādītāji kā augsta pieejamības riska izglītības iestādēm.</w:t>
            </w:r>
            <w:r w:rsidRPr="00B60CDA">
              <w:rPr>
                <w:sz w:val="24"/>
                <w:szCs w:val="24"/>
              </w:rPr>
              <w:br/>
            </w:r>
            <w:r w:rsidRPr="00B60CDA">
              <w:rPr>
                <w:b/>
                <w:sz w:val="24"/>
                <w:szCs w:val="24"/>
              </w:rPr>
              <w:t>Priekšlikums</w:t>
            </w:r>
            <w:r w:rsidRPr="00B60CDA">
              <w:rPr>
                <w:sz w:val="24"/>
                <w:szCs w:val="24"/>
              </w:rPr>
              <w:t xml:space="preserve"> - Iekļaut Jēkabpils novada Dignājas pamatskolu kā astoto izglītības iestādi, kurai piemēroti kvantitatīvie rādītāji kā augsta pieejamības riska izglītības iestādēm, jo skola jau šobrīd nodrošina vienīgo alternatīvu izglītības pieejamībai slēgtās Dunavas skolas skolniekiem, izglītības iestāde nodrošina šo divu pagastu kopienu saliedētību un skola ir izteikti sēliska, nodrošinot reģionālaš identitātes saglabāšanu un </w:t>
            </w:r>
            <w:r w:rsidRPr="00B60CDA">
              <w:rPr>
                <w:sz w:val="24"/>
                <w:szCs w:val="24"/>
              </w:rPr>
              <w:lastRenderedPageBreak/>
              <w:t>nemateriāla'kultūrvēsturiskā mantojuma pārmantošanu. Reģionā nav pieejama samērīga alternatīva.</w:t>
            </w:r>
            <w:r w:rsidRPr="00B60CDA">
              <w:rPr>
                <w:sz w:val="24"/>
                <w:szCs w:val="24"/>
              </w:rPr>
              <w:br/>
            </w:r>
          </w:p>
        </w:tc>
        <w:tc>
          <w:tcPr>
            <w:tcW w:w="1650" w:type="dxa"/>
            <w:shd w:val="clear" w:color="auto" w:fill="FFFFFF"/>
            <w:noWrap/>
            <w:tcMar>
              <w:top w:w="75" w:type="dxa"/>
              <w:left w:w="75" w:type="dxa"/>
              <w:bottom w:w="75" w:type="dxa"/>
              <w:right w:w="75" w:type="dxa"/>
            </w:tcMar>
          </w:tcPr>
          <w:p w14:paraId="4452950A" w14:textId="1BFE36B7" w:rsidR="00B93717" w:rsidRPr="00B60CDA" w:rsidRDefault="00DE586B" w:rsidP="0089150E">
            <w:pPr>
              <w:jc w:val="center"/>
              <w:rPr>
                <w:sz w:val="24"/>
                <w:szCs w:val="24"/>
              </w:rPr>
            </w:pPr>
            <w:r>
              <w:rPr>
                <w:sz w:val="24"/>
                <w:szCs w:val="24"/>
              </w:rPr>
              <w:lastRenderedPageBreak/>
              <w:t>Nav ņemts vērā</w:t>
            </w:r>
          </w:p>
        </w:tc>
        <w:tc>
          <w:tcPr>
            <w:tcW w:w="4056" w:type="dxa"/>
            <w:shd w:val="clear" w:color="auto" w:fill="FFFFFF"/>
            <w:noWrap/>
            <w:tcMar>
              <w:top w:w="75" w:type="dxa"/>
              <w:left w:w="75" w:type="dxa"/>
              <w:bottom w:w="75" w:type="dxa"/>
              <w:right w:w="75" w:type="dxa"/>
            </w:tcMar>
          </w:tcPr>
          <w:p w14:paraId="75A0418F" w14:textId="77777777" w:rsidR="00DE586B" w:rsidRDefault="00DE586B" w:rsidP="00DE586B">
            <w:pPr>
              <w:pStyle w:val="NormalWeb"/>
            </w:pPr>
            <w:r>
              <w:t xml:space="preserve">Augsta pieejamības riska identificēšana tiek veikta, izmantojot vienotu, visām izglītības iestādēm piemērojamu metodoloģiju. Ceļā pavadītais laiks tiek aprēķināts, izmantojot starptautiski validētu pieeju </w:t>
            </w:r>
            <w:r w:rsidRPr="00DE586B">
              <w:rPr>
                <w:i/>
                <w:iCs/>
              </w:rPr>
              <w:t>(global travel impedance grid)</w:t>
            </w:r>
            <w:r>
              <w:t>, kurā tiek ņemti vērā ceļu tīkls, seguma veids, reljefs un citi kustības ātrumu ietekmējoši faktori.</w:t>
            </w:r>
          </w:p>
          <w:p w14:paraId="1FFFFC8B" w14:textId="77777777" w:rsidR="00DE586B" w:rsidRDefault="00DE586B" w:rsidP="00DE586B">
            <w:pPr>
              <w:pStyle w:val="NormalWeb"/>
            </w:pPr>
            <w:r>
              <w:lastRenderedPageBreak/>
              <w:t>“Iestāde–iestāde” princips tiek piemērots, lai nodrošinātu:</w:t>
            </w:r>
          </w:p>
          <w:p w14:paraId="3A88220F" w14:textId="77777777" w:rsidR="00DE586B" w:rsidRDefault="00DE586B" w:rsidP="00DE586B">
            <w:pPr>
              <w:pStyle w:val="NormalWeb"/>
              <w:numPr>
                <w:ilvl w:val="0"/>
                <w:numId w:val="2"/>
              </w:numPr>
            </w:pPr>
            <w:r>
              <w:t>vienlīdzīgu un objektīvu salīdzināmību visā valstī,</w:t>
            </w:r>
          </w:p>
          <w:p w14:paraId="138F70D2" w14:textId="77777777" w:rsidR="00DE586B" w:rsidRDefault="00DE586B" w:rsidP="00DE586B">
            <w:pPr>
              <w:pStyle w:val="NormalWeb"/>
              <w:numPr>
                <w:ilvl w:val="0"/>
                <w:numId w:val="2"/>
              </w:numPr>
            </w:pPr>
            <w:r>
              <w:t>vienotu aprēķina vienību neatkarīgi no individuālās dzīvesvietas,</w:t>
            </w:r>
          </w:p>
          <w:p w14:paraId="00E7D3D4" w14:textId="77777777" w:rsidR="00DE586B" w:rsidRDefault="00DE586B" w:rsidP="00DE586B">
            <w:pPr>
              <w:pStyle w:val="NormalWeb"/>
              <w:numPr>
                <w:ilvl w:val="0"/>
                <w:numId w:val="2"/>
              </w:numPr>
            </w:pPr>
            <w:r>
              <w:t>izvairīšanos no subjektīviem un grūti verificējamiem individuāliem maršrutu novērtējumiem.</w:t>
            </w:r>
          </w:p>
          <w:p w14:paraId="58B60D95" w14:textId="77777777" w:rsidR="00DE586B" w:rsidRDefault="00DE586B" w:rsidP="00DE586B">
            <w:pPr>
              <w:pStyle w:val="NormalWeb"/>
            </w:pPr>
            <w:r>
              <w:t>Detalizētas datu matricas pievienošana normatīvajam aktam netiek paredzēta, jo:</w:t>
            </w:r>
          </w:p>
          <w:p w14:paraId="5B33F55B" w14:textId="77777777" w:rsidR="00DE586B" w:rsidRDefault="00DE586B" w:rsidP="00DE586B">
            <w:pPr>
              <w:pStyle w:val="NormalWeb"/>
              <w:numPr>
                <w:ilvl w:val="0"/>
                <w:numId w:val="3"/>
              </w:numPr>
            </w:pPr>
            <w:r>
              <w:t>dati ir apjomīgi un tehniski sarežģīti,</w:t>
            </w:r>
          </w:p>
          <w:p w14:paraId="73587C65" w14:textId="77777777" w:rsidR="00DE586B" w:rsidRDefault="00DE586B" w:rsidP="00DE586B">
            <w:pPr>
              <w:pStyle w:val="NormalWeb"/>
              <w:numPr>
                <w:ilvl w:val="0"/>
                <w:numId w:val="3"/>
              </w:numPr>
            </w:pPr>
            <w:r>
              <w:t>metodoloģija ir aprakstīta anotācijā,</w:t>
            </w:r>
          </w:p>
          <w:p w14:paraId="24A934D1" w14:textId="77777777" w:rsidR="00DE586B" w:rsidRDefault="00DE586B" w:rsidP="00DE586B">
            <w:pPr>
              <w:pStyle w:val="NormalWeb"/>
              <w:numPr>
                <w:ilvl w:val="0"/>
                <w:numId w:val="3"/>
              </w:numPr>
            </w:pPr>
            <w:r>
              <w:t>pieejamības izvērtējums tiek veikts konsekventi visām iestādēm, nevis selektīvi.</w:t>
            </w:r>
          </w:p>
          <w:p w14:paraId="689E39CA" w14:textId="0960D46E" w:rsidR="00DE586B" w:rsidRDefault="00DE586B" w:rsidP="00DE586B">
            <w:pPr>
              <w:pStyle w:val="NormalWeb"/>
            </w:pPr>
            <w:r>
              <w:t xml:space="preserve">Pieejamības izvērtējums tiek veikts, balstoties uz faktiskajām – konkrētajā brīdī funkcionējošajām – izglītības iestādēm. Normatīvā regulējuma mērķis ir noteikt finansēšanas kārtību esošajam </w:t>
            </w:r>
            <w:r>
              <w:lastRenderedPageBreak/>
              <w:t>tīklam, nevis rekonstruēt vēsturisko tīklu.</w:t>
            </w:r>
          </w:p>
          <w:p w14:paraId="191BF02C" w14:textId="77777777" w:rsidR="00DE586B" w:rsidRDefault="00DE586B" w:rsidP="00DE586B">
            <w:pPr>
              <w:pStyle w:val="NormalWeb"/>
            </w:pPr>
            <w:r>
              <w:t>Slēgtu izglītības iestāžu iekļaušana aprēķinos:</w:t>
            </w:r>
          </w:p>
          <w:p w14:paraId="5FD99024" w14:textId="77777777" w:rsidR="00DE586B" w:rsidRDefault="00DE586B" w:rsidP="00DE586B">
            <w:pPr>
              <w:pStyle w:val="NormalWeb"/>
              <w:numPr>
                <w:ilvl w:val="0"/>
                <w:numId w:val="4"/>
              </w:numPr>
            </w:pPr>
            <w:r>
              <w:t>radītu metodoloģisku nekonsekvenci,</w:t>
            </w:r>
          </w:p>
          <w:p w14:paraId="387B8BD9" w14:textId="77777777" w:rsidR="00DE586B" w:rsidRDefault="00DE586B" w:rsidP="00DE586B">
            <w:pPr>
              <w:pStyle w:val="NormalWeb"/>
              <w:numPr>
                <w:ilvl w:val="0"/>
                <w:numId w:val="4"/>
              </w:numPr>
            </w:pPr>
            <w:r>
              <w:t>padarītu izvērtējumu spekulatīvu,</w:t>
            </w:r>
          </w:p>
          <w:p w14:paraId="76B0C458" w14:textId="77777777" w:rsidR="00DE586B" w:rsidRDefault="00DE586B" w:rsidP="00DE586B">
            <w:pPr>
              <w:pStyle w:val="NormalWeb"/>
              <w:numPr>
                <w:ilvl w:val="0"/>
                <w:numId w:val="4"/>
              </w:numPr>
            </w:pPr>
            <w:r>
              <w:t>apgrūtinātu vienlīdzīgas pieejas nodrošināšanu.</w:t>
            </w:r>
          </w:p>
          <w:p w14:paraId="76694CDE" w14:textId="77777777" w:rsidR="00DE586B" w:rsidRDefault="00DE586B" w:rsidP="00DE586B">
            <w:pPr>
              <w:pStyle w:val="NormalWeb"/>
            </w:pPr>
            <w:r>
              <w:t>Reorganizācija ir dibinātāja kompetence. Valsts nosaka finansēšanas kritērijus, bet neplāno katras pašvaldības skolu tīkla attīstību.</w:t>
            </w:r>
          </w:p>
          <w:p w14:paraId="774AF0C7" w14:textId="77777777" w:rsidR="00DE586B" w:rsidRDefault="00DE586B" w:rsidP="00DE586B">
            <w:pPr>
              <w:pStyle w:val="NormalWeb"/>
            </w:pPr>
            <w:r>
              <w:t>Augsta pieejamības riska identificēšana tiek veikta, pamatojoties tikai uz objektīvi izmērāmiem teritoriālās sasniedzamības kritērijiem – ceļā pavadīto laiku līdz nākamajai attiecīgās pakāpes izglītības iestādei.</w:t>
            </w:r>
          </w:p>
          <w:p w14:paraId="1104038C" w14:textId="77777777" w:rsidR="00DE586B" w:rsidRDefault="00DE586B" w:rsidP="00DE586B">
            <w:pPr>
              <w:pStyle w:val="NormalWeb"/>
            </w:pPr>
            <w:r>
              <w:t>Faktori kā:</w:t>
            </w:r>
          </w:p>
          <w:p w14:paraId="6208D212" w14:textId="77777777" w:rsidR="00DE586B" w:rsidRDefault="00DE586B" w:rsidP="00DE586B">
            <w:pPr>
              <w:pStyle w:val="NormalWeb"/>
              <w:numPr>
                <w:ilvl w:val="0"/>
                <w:numId w:val="5"/>
              </w:numPr>
            </w:pPr>
            <w:r>
              <w:t>reģionālā identitāte,</w:t>
            </w:r>
          </w:p>
          <w:p w14:paraId="076FEFEF" w14:textId="77777777" w:rsidR="00DE586B" w:rsidRDefault="00DE586B" w:rsidP="00DE586B">
            <w:pPr>
              <w:pStyle w:val="NormalWeb"/>
              <w:numPr>
                <w:ilvl w:val="0"/>
                <w:numId w:val="5"/>
              </w:numPr>
            </w:pPr>
            <w:r>
              <w:t>kultūrvēsturiskā nozīme,</w:t>
            </w:r>
          </w:p>
          <w:p w14:paraId="6C544CCF" w14:textId="77777777" w:rsidR="00DE586B" w:rsidRDefault="00DE586B" w:rsidP="00DE586B">
            <w:pPr>
              <w:pStyle w:val="NormalWeb"/>
              <w:numPr>
                <w:ilvl w:val="0"/>
                <w:numId w:val="5"/>
              </w:numPr>
            </w:pPr>
            <w:r>
              <w:t>kopienas saliedētība,</w:t>
            </w:r>
          </w:p>
          <w:p w14:paraId="791388BF" w14:textId="77777777" w:rsidR="00DE586B" w:rsidRDefault="00DE586B" w:rsidP="00DE586B">
            <w:pPr>
              <w:pStyle w:val="NormalWeb"/>
              <w:numPr>
                <w:ilvl w:val="0"/>
                <w:numId w:val="5"/>
              </w:numPr>
            </w:pPr>
            <w:r>
              <w:lastRenderedPageBreak/>
              <w:t>iepriekš slēgtu skolu teritorijas,</w:t>
            </w:r>
          </w:p>
          <w:p w14:paraId="7D7208A2" w14:textId="77777777" w:rsidR="00DE586B" w:rsidRDefault="00DE586B" w:rsidP="00DE586B">
            <w:pPr>
              <w:pStyle w:val="NormalWeb"/>
            </w:pPr>
            <w:r>
              <w:t>ir būtiski pašvaldības stratēģiskajā plānošanā, taču tie nav finansēšanas diferenciācijas kritēriji šī regulējuma ietvaros.</w:t>
            </w:r>
          </w:p>
          <w:p w14:paraId="1AC23BCB" w14:textId="77777777" w:rsidR="00DE586B" w:rsidRDefault="00DE586B" w:rsidP="00DE586B">
            <w:pPr>
              <w:pStyle w:val="NormalWeb"/>
            </w:pPr>
            <w:r>
              <w:t>Jāuzsver, ka regulējums:</w:t>
            </w:r>
          </w:p>
          <w:p w14:paraId="287CA7D9" w14:textId="77777777" w:rsidR="00DE586B" w:rsidRDefault="00DE586B" w:rsidP="00DE586B">
            <w:pPr>
              <w:pStyle w:val="NormalWeb"/>
              <w:numPr>
                <w:ilvl w:val="0"/>
                <w:numId w:val="6"/>
              </w:numPr>
            </w:pPr>
            <w:r>
              <w:t>neparedz automātisku skolas slēgšanu,</w:t>
            </w:r>
          </w:p>
          <w:p w14:paraId="51400626" w14:textId="77777777" w:rsidR="00DE586B" w:rsidRDefault="00DE586B" w:rsidP="00DE586B">
            <w:pPr>
              <w:pStyle w:val="NormalWeb"/>
              <w:numPr>
                <w:ilvl w:val="0"/>
                <w:numId w:val="6"/>
              </w:numPr>
            </w:pPr>
            <w:r>
              <w:t>neuzliek pienākumu reorganizēt iestādi,</w:t>
            </w:r>
          </w:p>
          <w:p w14:paraId="2038C33D" w14:textId="77777777" w:rsidR="00DE586B" w:rsidRDefault="00DE586B" w:rsidP="00DE586B">
            <w:pPr>
              <w:pStyle w:val="NormalWeb"/>
              <w:numPr>
                <w:ilvl w:val="0"/>
                <w:numId w:val="6"/>
              </w:numPr>
            </w:pPr>
            <w:r>
              <w:t>nosaka tikai valsts līdzdalības apmēru pedagogu darba samaksā.</w:t>
            </w:r>
          </w:p>
          <w:p w14:paraId="2F2C79E0" w14:textId="011A31D8" w:rsidR="00B93717" w:rsidRPr="00B60CDA" w:rsidRDefault="00DE586B" w:rsidP="00DE586B">
            <w:pPr>
              <w:pStyle w:val="NormalWeb"/>
            </w:pPr>
            <w:r>
              <w:t>Ja dibinātājs uzskata skolu par stratēģiski nozīmīgu, tas var nodrošināt nepieciešamo līdzfinansējumu gadījumā, ja netiek sasniegti kvantitatīvie rādītāji. Regulējums respektē dibinātāja atbildību par skolu tīklu.</w:t>
            </w:r>
          </w:p>
        </w:tc>
      </w:tr>
      <w:tr w:rsidR="00B93717" w:rsidRPr="00B60CDA" w14:paraId="569E1719" w14:textId="77777777" w:rsidTr="0089150E">
        <w:tc>
          <w:tcPr>
            <w:tcW w:w="750" w:type="dxa"/>
            <w:shd w:val="clear" w:color="auto" w:fill="FFFFFF"/>
            <w:noWrap/>
            <w:tcMar>
              <w:top w:w="75" w:type="dxa"/>
              <w:left w:w="75" w:type="dxa"/>
              <w:bottom w:w="75" w:type="dxa"/>
              <w:right w:w="75" w:type="dxa"/>
            </w:tcMar>
            <w:vAlign w:val="center"/>
          </w:tcPr>
          <w:p w14:paraId="013FBBC2" w14:textId="77777777" w:rsidR="00B93717" w:rsidRPr="00B60CDA" w:rsidRDefault="00000000">
            <w:pPr>
              <w:jc w:val="center"/>
              <w:rPr>
                <w:sz w:val="24"/>
                <w:szCs w:val="24"/>
              </w:rPr>
            </w:pPr>
            <w:r w:rsidRPr="00B60CDA">
              <w:rPr>
                <w:sz w:val="24"/>
                <w:szCs w:val="24"/>
              </w:rPr>
              <w:lastRenderedPageBreak/>
              <w:t>10.</w:t>
            </w:r>
          </w:p>
        </w:tc>
        <w:tc>
          <w:tcPr>
            <w:tcW w:w="2930" w:type="dxa"/>
            <w:shd w:val="clear" w:color="auto" w:fill="FFFFFF"/>
            <w:noWrap/>
            <w:tcMar>
              <w:top w:w="75" w:type="dxa"/>
              <w:left w:w="75" w:type="dxa"/>
              <w:bottom w:w="75" w:type="dxa"/>
              <w:right w:w="75" w:type="dxa"/>
            </w:tcMar>
            <w:vAlign w:val="center"/>
          </w:tcPr>
          <w:p w14:paraId="0512A658" w14:textId="77777777" w:rsidR="00B93717" w:rsidRPr="00B60CDA" w:rsidRDefault="00000000">
            <w:pPr>
              <w:jc w:val="left"/>
              <w:rPr>
                <w:sz w:val="24"/>
                <w:szCs w:val="24"/>
              </w:rPr>
            </w:pPr>
            <w:r w:rsidRPr="00B60CDA">
              <w:rPr>
                <w:sz w:val="24"/>
                <w:szCs w:val="24"/>
              </w:rPr>
              <w:t>Skolēnu vecāki, Elīna Tripāne</w:t>
            </w:r>
          </w:p>
        </w:tc>
        <w:tc>
          <w:tcPr>
            <w:tcW w:w="5181" w:type="dxa"/>
            <w:shd w:val="clear" w:color="auto" w:fill="FFFFFF"/>
            <w:noWrap/>
            <w:tcMar>
              <w:top w:w="75" w:type="dxa"/>
              <w:left w:w="75" w:type="dxa"/>
              <w:bottom w:w="75" w:type="dxa"/>
              <w:right w:w="75" w:type="dxa"/>
            </w:tcMar>
            <w:vAlign w:val="center"/>
          </w:tcPr>
          <w:p w14:paraId="37843F88" w14:textId="77777777" w:rsidR="00B93717" w:rsidRPr="00B60CDA" w:rsidRDefault="00000000">
            <w:pPr>
              <w:jc w:val="left"/>
              <w:rPr>
                <w:sz w:val="24"/>
                <w:szCs w:val="24"/>
              </w:rPr>
            </w:pPr>
            <w:r w:rsidRPr="00B60CDA">
              <w:rPr>
                <w:b/>
                <w:sz w:val="24"/>
                <w:szCs w:val="24"/>
                <w:u w:val="single"/>
              </w:rPr>
              <w:t>Iebildums</w:t>
            </w:r>
            <w:r w:rsidRPr="00B60CDA">
              <w:rPr>
                <w:sz w:val="24"/>
                <w:szCs w:val="24"/>
              </w:rPr>
              <w:t xml:space="preserve"> - nosakot ceļā pavadīto laiku netiek vērtēts cik tālu jau šobrīd atrodas esošā izglītības iestāde.</w:t>
            </w:r>
            <w:r w:rsidRPr="00B60CDA">
              <w:rPr>
                <w:sz w:val="24"/>
                <w:szCs w:val="24"/>
              </w:rPr>
              <w:br/>
            </w:r>
            <w:r w:rsidRPr="00B60CDA">
              <w:rPr>
                <w:b/>
                <w:sz w:val="24"/>
                <w:szCs w:val="24"/>
                <w:u w:val="single"/>
              </w:rPr>
              <w:t>Priekšlikums</w:t>
            </w:r>
            <w:r w:rsidRPr="00B60CDA">
              <w:rPr>
                <w:sz w:val="24"/>
                <w:szCs w:val="24"/>
              </w:rPr>
              <w:t xml:space="preserve"> - izglītības pieejamības riski jāvērtē no skatu punkta ''dzīvesvieta'' - ''izglītības iestāde'', neignorējot jau iepriekšējos periodos slēgtās un </w:t>
            </w:r>
            <w:r w:rsidRPr="00B60CDA">
              <w:rPr>
                <w:sz w:val="24"/>
                <w:szCs w:val="24"/>
              </w:rPr>
              <w:lastRenderedPageBreak/>
              <w:t>reorganizētās izglītības iestādes.</w:t>
            </w:r>
            <w:r w:rsidRPr="00B60CDA">
              <w:rPr>
                <w:sz w:val="24"/>
                <w:szCs w:val="24"/>
              </w:rPr>
              <w:br/>
            </w:r>
            <w:r w:rsidRPr="00B60CDA">
              <w:rPr>
                <w:sz w:val="24"/>
                <w:szCs w:val="24"/>
              </w:rPr>
              <w:br/>
            </w:r>
            <w:r w:rsidRPr="00B60CDA">
              <w:rPr>
                <w:b/>
                <w:sz w:val="24"/>
                <w:szCs w:val="24"/>
                <w:u w:val="single"/>
              </w:rPr>
              <w:t>Iebildums</w:t>
            </w:r>
            <w:r w:rsidRPr="00B60CDA">
              <w:rPr>
                <w:sz w:val="24"/>
                <w:szCs w:val="24"/>
              </w:rPr>
              <w:t xml:space="preserve"> - nosakot minimālo skolēnu skaitu klašu grupās nav vērtēts disbalans apdzīvotības blīvumā. Latvijā ir izteikta koncentrācija ap vienu metrapoli un tās apkārtni, Rīgā un Pierīgā dzīvo vairāk kā puse valsts iedzīvotāju, pārējās valsts teritorijas ir ļoti zemu apdzīvotību, tāpēc šis faktors, kas ir salīdzinoši unikāls Eiropas valstu kontekstā, ir jāvērtē īpaši rūpīgi.</w:t>
            </w:r>
            <w:r w:rsidRPr="00B60CDA">
              <w:rPr>
                <w:sz w:val="24"/>
                <w:szCs w:val="24"/>
              </w:rPr>
              <w:br/>
            </w:r>
            <w:r w:rsidRPr="00B60CDA">
              <w:rPr>
                <w:b/>
                <w:sz w:val="24"/>
                <w:szCs w:val="24"/>
                <w:u w:val="single"/>
              </w:rPr>
              <w:t>Priekšlikums</w:t>
            </w:r>
            <w:r w:rsidRPr="00B60CDA">
              <w:rPr>
                <w:sz w:val="24"/>
                <w:szCs w:val="24"/>
              </w:rPr>
              <w:t xml:space="preserve"> - katru izglītības iestādi vērtēt kontekstā ar apdzīvotības blīvumu un ģeogrāfisko areālu, ko jau šobrīd apkalpo esošā izglītības iestāde. Izglītības pieejamību jāvērtē no kopienas līdz iestādei, nevis tikai starp iestādēm.</w:t>
            </w:r>
            <w:r w:rsidRPr="00B60CDA">
              <w:rPr>
                <w:sz w:val="24"/>
                <w:szCs w:val="24"/>
              </w:rPr>
              <w:br/>
            </w:r>
            <w:r w:rsidRPr="00B60CDA">
              <w:rPr>
                <w:sz w:val="24"/>
                <w:szCs w:val="24"/>
              </w:rPr>
              <w:br/>
            </w:r>
            <w:r w:rsidRPr="00B60CDA">
              <w:rPr>
                <w:b/>
                <w:sz w:val="24"/>
                <w:szCs w:val="24"/>
                <w:u w:val="single"/>
              </w:rPr>
              <w:t>Iebildums</w:t>
            </w:r>
            <w:r w:rsidRPr="00B60CDA">
              <w:rPr>
                <w:sz w:val="24"/>
                <w:szCs w:val="24"/>
              </w:rPr>
              <w:t xml:space="preserve"> - koncentrēšanās un kvantitātīvajiem izglītības parametriem nenodrošina kvalitātes uzlabošanu, kas ir pamatojums šim noteikumu projektam.</w:t>
            </w:r>
            <w:r w:rsidRPr="00B60CDA">
              <w:rPr>
                <w:sz w:val="24"/>
                <w:szCs w:val="24"/>
              </w:rPr>
              <w:br/>
            </w:r>
            <w:r w:rsidRPr="00B60CDA">
              <w:rPr>
                <w:b/>
                <w:sz w:val="24"/>
                <w:szCs w:val="24"/>
                <w:u w:val="single"/>
              </w:rPr>
              <w:t>Priekšlikums</w:t>
            </w:r>
            <w:r w:rsidRPr="00B60CDA">
              <w:rPr>
                <w:sz w:val="24"/>
                <w:szCs w:val="24"/>
              </w:rPr>
              <w:t xml:space="preserve"> - pazemināt minimālo izglītojamo skaitu reģionos ar zemu un ļoti zemu apdzīvotības blīvumu. Vētējot izglītības iestādi, ņemt vērā ne tikai ceļā pavadīto laiku, bet jau esošo izglītības kvalitāti un sasniegtos rezultātus.</w:t>
            </w:r>
            <w:r w:rsidRPr="00B60CDA">
              <w:rPr>
                <w:sz w:val="24"/>
                <w:szCs w:val="24"/>
              </w:rPr>
              <w:br/>
            </w:r>
            <w:r w:rsidRPr="00B60CDA">
              <w:rPr>
                <w:sz w:val="24"/>
                <w:szCs w:val="24"/>
              </w:rPr>
              <w:br/>
            </w:r>
            <w:r w:rsidRPr="00B60CDA">
              <w:rPr>
                <w:b/>
                <w:sz w:val="24"/>
                <w:szCs w:val="24"/>
                <w:u w:val="single"/>
              </w:rPr>
              <w:t>Iebildums</w:t>
            </w:r>
            <w:r w:rsidRPr="00B60CDA">
              <w:rPr>
                <w:sz w:val="24"/>
                <w:szCs w:val="24"/>
              </w:rPr>
              <w:t xml:space="preserve"> - nav caurskatāmi un pieejami kritēriji par izglītības iestādēm, kurām piemēroti kvantitatīvie rādītāji kā augsta pieejamības riska izglītības iestādēm.</w:t>
            </w:r>
            <w:r w:rsidRPr="00B60CDA">
              <w:rPr>
                <w:sz w:val="24"/>
                <w:szCs w:val="24"/>
              </w:rPr>
              <w:br/>
            </w:r>
            <w:r w:rsidRPr="00B60CDA">
              <w:rPr>
                <w:b/>
                <w:sz w:val="24"/>
                <w:szCs w:val="24"/>
                <w:u w:val="single"/>
              </w:rPr>
              <w:t xml:space="preserve">Priekšlikums </w:t>
            </w:r>
            <w:r w:rsidRPr="00B60CDA">
              <w:rPr>
                <w:sz w:val="24"/>
                <w:szCs w:val="24"/>
              </w:rPr>
              <w:t xml:space="preserve">- papildināt noteikumu projektu ar </w:t>
            </w:r>
            <w:r w:rsidRPr="00B60CDA">
              <w:rPr>
                <w:sz w:val="24"/>
                <w:szCs w:val="24"/>
              </w:rPr>
              <w:lastRenderedPageBreak/>
              <w:t>skaidrojumu un kritērijiem, kas nosaka izglītības iestādes ar kvantitatīvajiem rādītājiem kā augsta pieejamības riska izglītības iestādēm.</w:t>
            </w:r>
            <w:r w:rsidRPr="00B60CDA">
              <w:rPr>
                <w:sz w:val="24"/>
                <w:szCs w:val="24"/>
              </w:rPr>
              <w:br/>
            </w:r>
            <w:r w:rsidRPr="00B60CDA">
              <w:rPr>
                <w:sz w:val="24"/>
                <w:szCs w:val="24"/>
              </w:rPr>
              <w:br/>
            </w:r>
            <w:r w:rsidRPr="00B60CDA">
              <w:rPr>
                <w:b/>
                <w:sz w:val="24"/>
                <w:szCs w:val="24"/>
                <w:u w:val="single"/>
              </w:rPr>
              <w:t>Iebildums</w:t>
            </w:r>
            <w:r w:rsidRPr="00B60CDA">
              <w:rPr>
                <w:sz w:val="24"/>
                <w:szCs w:val="24"/>
              </w:rPr>
              <w:t xml:space="preserve"> - nosakot izglītības iestādes ar augstu pieejamības risku nav veikts novērtējums par ietekmi uz kopienām, to dzīves kvalitāti Satversmes ietvarā.</w:t>
            </w:r>
            <w:r w:rsidRPr="00B60CDA">
              <w:rPr>
                <w:sz w:val="24"/>
                <w:szCs w:val="24"/>
              </w:rPr>
              <w:br/>
            </w:r>
            <w:r w:rsidRPr="00B60CDA">
              <w:rPr>
                <w:b/>
                <w:sz w:val="24"/>
                <w:szCs w:val="24"/>
                <w:u w:val="single"/>
              </w:rPr>
              <w:t>Priekšlikums</w:t>
            </w:r>
            <w:r w:rsidRPr="00B60CDA">
              <w:rPr>
                <w:sz w:val="24"/>
                <w:szCs w:val="24"/>
              </w:rPr>
              <w:t xml:space="preserve"> - paredzēt iespēju papildināt augsta pieejamības riska izglītības iestāžu sarakstu ar izglītības iestādēm, kas ir būtiskas un vitāli svarīgas kopienu saglabāšanai un to dzīves kvalitātes nodrošināšanai.</w:t>
            </w:r>
            <w:r w:rsidRPr="00B60CDA">
              <w:rPr>
                <w:sz w:val="24"/>
                <w:szCs w:val="24"/>
              </w:rPr>
              <w:br/>
            </w:r>
            <w:r w:rsidRPr="00B60CDA">
              <w:rPr>
                <w:sz w:val="24"/>
                <w:szCs w:val="24"/>
              </w:rPr>
              <w:br/>
            </w:r>
            <w:r w:rsidRPr="00B60CDA">
              <w:rPr>
                <w:b/>
                <w:sz w:val="24"/>
                <w:szCs w:val="24"/>
                <w:u w:val="single"/>
              </w:rPr>
              <w:t>Iebildums</w:t>
            </w:r>
            <w:r w:rsidRPr="00B60CDA">
              <w:rPr>
                <w:sz w:val="24"/>
                <w:szCs w:val="24"/>
              </w:rPr>
              <w:t xml:space="preserve"> - netiek nodrošināta iespēja dibinātājiem daļēji piefinansēt pedagogu atalgojumu, ja izglītības iestāde ir būtiska un svarīga kopienai.</w:t>
            </w:r>
            <w:r w:rsidRPr="00B60CDA">
              <w:rPr>
                <w:sz w:val="24"/>
                <w:szCs w:val="24"/>
              </w:rPr>
              <w:br/>
            </w:r>
            <w:r w:rsidRPr="00B60CDA">
              <w:rPr>
                <w:b/>
                <w:sz w:val="24"/>
                <w:szCs w:val="24"/>
                <w:u w:val="single"/>
              </w:rPr>
              <w:t xml:space="preserve">Priekšlikums </w:t>
            </w:r>
            <w:r w:rsidRPr="00B60CDA">
              <w:rPr>
                <w:sz w:val="24"/>
                <w:szCs w:val="24"/>
              </w:rPr>
              <w:t>- paredzēt iespēju pašvaldībai nodrošināt līdzfinansējumu proporcionāli iztrūkstošo izglītojamo skaitam attiecīgā klašu grupā.</w:t>
            </w:r>
          </w:p>
        </w:tc>
        <w:tc>
          <w:tcPr>
            <w:tcW w:w="1650" w:type="dxa"/>
            <w:shd w:val="clear" w:color="auto" w:fill="FFFFFF"/>
            <w:noWrap/>
            <w:tcMar>
              <w:top w:w="75" w:type="dxa"/>
              <w:left w:w="75" w:type="dxa"/>
              <w:bottom w:w="75" w:type="dxa"/>
              <w:right w:w="75" w:type="dxa"/>
            </w:tcMar>
          </w:tcPr>
          <w:p w14:paraId="67862746" w14:textId="0A7F249A" w:rsidR="00B93717" w:rsidRPr="00B60CDA" w:rsidRDefault="00DE586B" w:rsidP="0089150E">
            <w:pPr>
              <w:jc w:val="center"/>
              <w:rPr>
                <w:sz w:val="24"/>
                <w:szCs w:val="24"/>
              </w:rPr>
            </w:pPr>
            <w:r>
              <w:rPr>
                <w:sz w:val="24"/>
                <w:szCs w:val="24"/>
              </w:rPr>
              <w:lastRenderedPageBreak/>
              <w:t>Nav ņemts vērā</w:t>
            </w:r>
          </w:p>
        </w:tc>
        <w:tc>
          <w:tcPr>
            <w:tcW w:w="4056" w:type="dxa"/>
            <w:shd w:val="clear" w:color="auto" w:fill="FFFFFF"/>
            <w:noWrap/>
            <w:tcMar>
              <w:top w:w="75" w:type="dxa"/>
              <w:left w:w="75" w:type="dxa"/>
              <w:bottom w:w="75" w:type="dxa"/>
              <w:right w:w="75" w:type="dxa"/>
            </w:tcMar>
          </w:tcPr>
          <w:p w14:paraId="24ACEED7" w14:textId="77777777" w:rsidR="00DE586B" w:rsidRDefault="00DE586B" w:rsidP="00DE586B">
            <w:pPr>
              <w:pStyle w:val="NormalWeb"/>
            </w:pPr>
            <w:r>
              <w:t xml:space="preserve">Augsta pieejamības riska identificēšana tiek veikta, izmantojot vienotu, visā valstī salīdzināmu metodoloģiju, kurā ceļā pavadītais laiks tiek aprēķināts </w:t>
            </w:r>
            <w:r>
              <w:lastRenderedPageBreak/>
              <w:t>starp attiecīgās pakāpes izglītības iestādēm. Šāda pieeja nodrošina:</w:t>
            </w:r>
          </w:p>
          <w:p w14:paraId="19537C69" w14:textId="77777777" w:rsidR="00DE586B" w:rsidRDefault="00DE586B" w:rsidP="00DE586B">
            <w:pPr>
              <w:pStyle w:val="NormalWeb"/>
              <w:numPr>
                <w:ilvl w:val="0"/>
                <w:numId w:val="7"/>
              </w:numPr>
            </w:pPr>
            <w:r>
              <w:t>objektīvu un visām iestādēm vienādi piemērojamu izvērtējumu;</w:t>
            </w:r>
          </w:p>
          <w:p w14:paraId="32D87481" w14:textId="77777777" w:rsidR="00DE586B" w:rsidRDefault="00DE586B" w:rsidP="00DE586B">
            <w:pPr>
              <w:pStyle w:val="NormalWeb"/>
              <w:numPr>
                <w:ilvl w:val="0"/>
                <w:numId w:val="7"/>
              </w:numPr>
            </w:pPr>
            <w:r>
              <w:t>izvairīšanos no individuālu maršrutu, sezonālu apstākļu vai mainīgas dzīvesvietu struktūras ietekmes;</w:t>
            </w:r>
          </w:p>
          <w:p w14:paraId="34FA40B8" w14:textId="77777777" w:rsidR="00DE586B" w:rsidRDefault="00DE586B" w:rsidP="00DE586B">
            <w:pPr>
              <w:pStyle w:val="NormalWeb"/>
              <w:numPr>
                <w:ilvl w:val="0"/>
                <w:numId w:val="7"/>
              </w:numPr>
            </w:pPr>
            <w:r>
              <w:t>metodoloģisku stabilitāti ilgtermiņā.</w:t>
            </w:r>
          </w:p>
          <w:p w14:paraId="7F91B419" w14:textId="77777777" w:rsidR="00DE586B" w:rsidRDefault="00DE586B" w:rsidP="00DE586B">
            <w:pPr>
              <w:pStyle w:val="NormalWeb"/>
            </w:pPr>
            <w:r>
              <w:t>Ja vērtēšana tiktu balstīta uz individuālām dzīvesvietām, rezultāti būtu mainīgi un grūti salīdzināmi, kā arī radītu nevienlīdzīgu attieksmi starp teritorijām. Regulējuma mērķis ir noteikt finansēšanas principus, nevis modelēt katra skolēna individuālo pārvietošanās scenāriju.</w:t>
            </w:r>
          </w:p>
          <w:p w14:paraId="0831628A" w14:textId="77777777" w:rsidR="00DE586B" w:rsidRDefault="00DE586B" w:rsidP="00DE586B">
            <w:pPr>
              <w:pStyle w:val="NormalWeb"/>
            </w:pPr>
            <w:r>
              <w:t>Noteikumu projektā apdzīvotības faktors ir ņemts vērā, izmantojot Eurostat DEGURBA klasifikāciju. Tā nav balstīta tikai uz iedzīvotāju skaitu vai blīvumu, bet ir kompleksa pieeja, kurā tiek vērtēta:</w:t>
            </w:r>
          </w:p>
          <w:p w14:paraId="699E0B1E" w14:textId="77777777" w:rsidR="00DE586B" w:rsidRDefault="00DE586B" w:rsidP="00DE586B">
            <w:pPr>
              <w:pStyle w:val="NormalWeb"/>
              <w:numPr>
                <w:ilvl w:val="0"/>
                <w:numId w:val="8"/>
              </w:numPr>
            </w:pPr>
            <w:r>
              <w:t>apdzīvotības struktūra,</w:t>
            </w:r>
          </w:p>
          <w:p w14:paraId="6F1D6692" w14:textId="77777777" w:rsidR="00DE586B" w:rsidRDefault="00DE586B" w:rsidP="00DE586B">
            <w:pPr>
              <w:pStyle w:val="NormalWeb"/>
              <w:numPr>
                <w:ilvl w:val="0"/>
                <w:numId w:val="8"/>
              </w:numPr>
            </w:pPr>
            <w:r>
              <w:t>teritorijas urbanizācijas pakāpe,</w:t>
            </w:r>
          </w:p>
          <w:p w14:paraId="55F4E5B9" w14:textId="77777777" w:rsidR="00DE586B" w:rsidRDefault="00DE586B" w:rsidP="00DE586B">
            <w:pPr>
              <w:pStyle w:val="NormalWeb"/>
              <w:numPr>
                <w:ilvl w:val="0"/>
                <w:numId w:val="8"/>
              </w:numPr>
            </w:pPr>
            <w:r>
              <w:lastRenderedPageBreak/>
              <w:t>funkcionālā saistība ar pilsētvidi.</w:t>
            </w:r>
          </w:p>
          <w:p w14:paraId="2F1DDF9F" w14:textId="77777777" w:rsidR="00DE586B" w:rsidRDefault="00DE586B" w:rsidP="00DE586B">
            <w:pPr>
              <w:pStyle w:val="NormalWeb"/>
            </w:pPr>
            <w:r>
              <w:t>Tādējādi atšķirīgi kvantitatīvie rādītāji jau ir diferencēti atkarībā no teritorijas urbanizācijas līmeņa. Individuāla katras iestādes izvērtēšana ārpus vienotas metodoloģijas radītu nevienlīdzīgu un grūti prognozējamu regulējuma piemērošanu.</w:t>
            </w:r>
          </w:p>
          <w:p w14:paraId="2FC09711" w14:textId="77777777" w:rsidR="00DE586B" w:rsidRDefault="00DE586B" w:rsidP="00DE586B">
            <w:pPr>
              <w:pStyle w:val="NormalWeb"/>
            </w:pPr>
            <w:r>
              <w:t>Regulējums nenosaka skolu slēgšanu vai reorganizāciju. Tas nosaka valsts līdzdalības apmēru pedagogu darba samaksā.</w:t>
            </w:r>
          </w:p>
          <w:p w14:paraId="0A703DCC" w14:textId="4769BB10" w:rsidR="00DE586B" w:rsidRDefault="00DE586B" w:rsidP="00DE586B">
            <w:pPr>
              <w:pStyle w:val="NormalWeb"/>
            </w:pPr>
            <w:r>
              <w:t>Kopienas attīstības, identitātes un reģionālās politikas jautājumi ir pašvaldības stratēģiskās plānošanas kompetencē. Ja dibinātājs uzskata konkrētu iestādi par svarīgu kopienai, tas var pieņemt lēmumu to saglabāt, nodrošinot nepieciešamo līdzfinansējumu.</w:t>
            </w:r>
          </w:p>
          <w:p w14:paraId="286318AE" w14:textId="77777777" w:rsidR="00DE586B" w:rsidRDefault="00DE586B" w:rsidP="00DE586B">
            <w:pPr>
              <w:pStyle w:val="NormalWeb"/>
            </w:pPr>
            <w:r>
              <w:t>Noteikumu projekts paredz:</w:t>
            </w:r>
          </w:p>
          <w:p w14:paraId="7CB68AE6" w14:textId="77777777" w:rsidR="00DE586B" w:rsidRDefault="00DE586B" w:rsidP="00DE586B">
            <w:pPr>
              <w:pStyle w:val="NormalWeb"/>
              <w:numPr>
                <w:ilvl w:val="0"/>
                <w:numId w:val="9"/>
              </w:numPr>
            </w:pPr>
            <w:r>
              <w:t>proporcionālu valsts finansējumu gadījumos, kad netiek sasniegts pilns kvantitatīvais rādītājs (noteiktos gadījumos);</w:t>
            </w:r>
          </w:p>
          <w:p w14:paraId="01FB8289" w14:textId="77777777" w:rsidR="00DE586B" w:rsidRDefault="00DE586B" w:rsidP="00DE586B">
            <w:pPr>
              <w:pStyle w:val="NormalWeb"/>
              <w:numPr>
                <w:ilvl w:val="0"/>
                <w:numId w:val="9"/>
              </w:numPr>
            </w:pPr>
            <w:r>
              <w:lastRenderedPageBreak/>
              <w:t>dibinātāja atbildību nodrošināt finansējuma starpību, ja iestāde neatbilst kritērijiem, bet tiek saglabāta.</w:t>
            </w:r>
          </w:p>
          <w:p w14:paraId="209D8904" w14:textId="5ABA7BB7" w:rsidR="00B93717" w:rsidRPr="00B60CDA" w:rsidRDefault="00DE586B" w:rsidP="00DE586B">
            <w:pPr>
              <w:pStyle w:val="NormalWeb"/>
            </w:pPr>
            <w:r>
              <w:t>Tādējādi regulējums neierobežo dibinātāja tiesības uzturēt iestādi, bet precizē valsts finansējuma apjomu.</w:t>
            </w:r>
          </w:p>
        </w:tc>
      </w:tr>
      <w:tr w:rsidR="00B93717" w:rsidRPr="00B60CDA" w14:paraId="3511F325" w14:textId="77777777" w:rsidTr="0089150E">
        <w:tc>
          <w:tcPr>
            <w:tcW w:w="750" w:type="dxa"/>
            <w:shd w:val="clear" w:color="auto" w:fill="FFFFFF"/>
            <w:noWrap/>
            <w:tcMar>
              <w:top w:w="75" w:type="dxa"/>
              <w:left w:w="75" w:type="dxa"/>
              <w:bottom w:w="75" w:type="dxa"/>
              <w:right w:w="75" w:type="dxa"/>
            </w:tcMar>
            <w:vAlign w:val="center"/>
          </w:tcPr>
          <w:p w14:paraId="09E90037" w14:textId="77777777" w:rsidR="00B93717" w:rsidRPr="00B60CDA" w:rsidRDefault="00000000">
            <w:pPr>
              <w:jc w:val="center"/>
              <w:rPr>
                <w:sz w:val="24"/>
                <w:szCs w:val="24"/>
              </w:rPr>
            </w:pPr>
            <w:r w:rsidRPr="00B60CDA">
              <w:rPr>
                <w:sz w:val="24"/>
                <w:szCs w:val="24"/>
              </w:rPr>
              <w:lastRenderedPageBreak/>
              <w:t>11.</w:t>
            </w:r>
          </w:p>
        </w:tc>
        <w:tc>
          <w:tcPr>
            <w:tcW w:w="2930" w:type="dxa"/>
            <w:shd w:val="clear" w:color="auto" w:fill="FFFFFF"/>
            <w:noWrap/>
            <w:tcMar>
              <w:top w:w="75" w:type="dxa"/>
              <w:left w:w="75" w:type="dxa"/>
              <w:bottom w:w="75" w:type="dxa"/>
              <w:right w:w="75" w:type="dxa"/>
            </w:tcMar>
            <w:vAlign w:val="center"/>
          </w:tcPr>
          <w:p w14:paraId="4AB9E132" w14:textId="77777777" w:rsidR="00B93717" w:rsidRPr="00B60CDA" w:rsidRDefault="00000000">
            <w:pPr>
              <w:jc w:val="left"/>
              <w:rPr>
                <w:sz w:val="24"/>
                <w:szCs w:val="24"/>
              </w:rPr>
            </w:pPr>
            <w:r w:rsidRPr="00B60CDA">
              <w:rPr>
                <w:sz w:val="24"/>
                <w:szCs w:val="24"/>
              </w:rPr>
              <w:t>Sabiedrība ar ierobežotu atbildību "EGLONA", Reinis Balodis</w:t>
            </w:r>
          </w:p>
        </w:tc>
        <w:tc>
          <w:tcPr>
            <w:tcW w:w="5181" w:type="dxa"/>
            <w:shd w:val="clear" w:color="auto" w:fill="FFFFFF"/>
            <w:noWrap/>
            <w:tcMar>
              <w:top w:w="75" w:type="dxa"/>
              <w:left w:w="75" w:type="dxa"/>
              <w:bottom w:w="75" w:type="dxa"/>
              <w:right w:w="75" w:type="dxa"/>
            </w:tcMar>
            <w:vAlign w:val="center"/>
          </w:tcPr>
          <w:p w14:paraId="5801233D" w14:textId="77777777" w:rsidR="00B93717" w:rsidRPr="00B60CDA" w:rsidRDefault="00000000">
            <w:pPr>
              <w:jc w:val="left"/>
              <w:rPr>
                <w:sz w:val="24"/>
                <w:szCs w:val="24"/>
              </w:rPr>
            </w:pPr>
            <w:r w:rsidRPr="00B60CDA">
              <w:rPr>
                <w:i/>
                <w:sz w:val="24"/>
                <w:szCs w:val="24"/>
                <w:u w:val="single"/>
              </w:rPr>
              <w:t>Iebildums:</w:t>
            </w:r>
            <w:r w:rsidRPr="00B60CDA">
              <w:rPr>
                <w:sz w:val="24"/>
                <w:szCs w:val="24"/>
              </w:rPr>
              <w:t xml:space="preserve"> Nav vērtēta šo noteikumu projekta ietekme uz tautsaimniecību. Reģionos stratēģiski tiek veicināta ražošanas attīstība ar ES fondiem, dažādām valsts atbalsta programmam, bet šo noteikumu kontekstā netiek vērtēts, kā paredzot izglītības iestāžu slēgšanu, tiks ietekmētas attiecīgajos reģionos esošās ražošanas. Darba spēka piesaiste tiek pakļauta augstam riskam, jo primāri jaunie speciālisti vērtē izglītības pieejamību reģionā pirms pieņem darbu, kas saistīts ar ģimenes pārcelšanos.</w:t>
            </w:r>
            <w:r w:rsidRPr="00B60CDA">
              <w:rPr>
                <w:sz w:val="24"/>
                <w:szCs w:val="24"/>
              </w:rPr>
              <w:br/>
            </w:r>
            <w:r w:rsidRPr="00B60CDA">
              <w:rPr>
                <w:i/>
                <w:sz w:val="24"/>
                <w:szCs w:val="24"/>
                <w:u w:val="single"/>
              </w:rPr>
              <w:t>Priekšlikums</w:t>
            </w:r>
            <w:r w:rsidRPr="00B60CDA">
              <w:rPr>
                <w:sz w:val="24"/>
                <w:szCs w:val="24"/>
              </w:rPr>
              <w:t>: Nosakot izglītības iestādes ar augstu pieejamības statusu, vērtēt ari reģionā esošo ražošanu, tās potenciālo attīstību un jau šobrīd ieguldītos līdzekļus, kas reģionā ieguldīti ražošanas attīstībā. Jāvērtē reģiona ekonomiskā attīstība, tās prognozes un cik būtiska ir šīs izglītības pieejamibā jaunajiem speciālistiem ar ģimenēm.</w:t>
            </w:r>
            <w:r w:rsidRPr="00B60CDA">
              <w:rPr>
                <w:sz w:val="24"/>
                <w:szCs w:val="24"/>
              </w:rPr>
              <w:br/>
            </w:r>
            <w:r w:rsidRPr="00B60CDA">
              <w:rPr>
                <w:sz w:val="24"/>
                <w:szCs w:val="24"/>
              </w:rPr>
              <w:br/>
            </w:r>
            <w:r w:rsidRPr="00B60CDA">
              <w:rPr>
                <w:i/>
                <w:sz w:val="24"/>
                <w:szCs w:val="24"/>
                <w:u w:val="single"/>
              </w:rPr>
              <w:t>Iebildums</w:t>
            </w:r>
            <w:r w:rsidRPr="00B60CDA">
              <w:rPr>
                <w:sz w:val="24"/>
                <w:szCs w:val="24"/>
              </w:rPr>
              <w:t xml:space="preserve">: Netiek nodrošināta iespēja dibinātājam nodrošināt līdzfinansējumu daļēji periodam, ja šobrīd izglītojamo skaits neatbilst noteiktajiem kvantitatīvajiem rādītājiem, bet nākotnes attīstības </w:t>
            </w:r>
            <w:r w:rsidRPr="00B60CDA">
              <w:rPr>
                <w:sz w:val="24"/>
                <w:szCs w:val="24"/>
              </w:rPr>
              <w:lastRenderedPageBreak/>
              <w:t>stratēģijas un prognozes paredz reģiona attīstību un izglītojamo skaita pieaugumu.</w:t>
            </w:r>
            <w:r w:rsidRPr="00B60CDA">
              <w:rPr>
                <w:sz w:val="24"/>
                <w:szCs w:val="24"/>
              </w:rPr>
              <w:br/>
            </w:r>
            <w:r w:rsidRPr="00B60CDA">
              <w:rPr>
                <w:i/>
                <w:sz w:val="24"/>
                <w:szCs w:val="24"/>
                <w:u w:val="single"/>
              </w:rPr>
              <w:t>Priekšlikums</w:t>
            </w:r>
            <w:r w:rsidRPr="00B60CDA">
              <w:rPr>
                <w:sz w:val="24"/>
                <w:szCs w:val="24"/>
              </w:rPr>
              <w:t>: Paredzēt iespēju dibinātājam piefinansēt daļēji, nodrošinot iespēju finansējumam būt proporcionālam gan no valsts. gan no dibinātāja.</w:t>
            </w:r>
            <w:r w:rsidRPr="00B60CDA">
              <w:rPr>
                <w:sz w:val="24"/>
                <w:szCs w:val="24"/>
              </w:rPr>
              <w:br/>
            </w:r>
            <w:r w:rsidRPr="00B60CDA">
              <w:rPr>
                <w:sz w:val="24"/>
                <w:szCs w:val="24"/>
              </w:rPr>
              <w:br/>
            </w:r>
          </w:p>
        </w:tc>
        <w:tc>
          <w:tcPr>
            <w:tcW w:w="1650" w:type="dxa"/>
            <w:shd w:val="clear" w:color="auto" w:fill="FFFFFF"/>
            <w:noWrap/>
            <w:tcMar>
              <w:top w:w="75" w:type="dxa"/>
              <w:left w:w="75" w:type="dxa"/>
              <w:bottom w:w="75" w:type="dxa"/>
              <w:right w:w="75" w:type="dxa"/>
            </w:tcMar>
          </w:tcPr>
          <w:p w14:paraId="3EB1C077" w14:textId="3C062BA9" w:rsidR="00B93717" w:rsidRPr="00B60CDA" w:rsidRDefault="00560755" w:rsidP="0089150E">
            <w:pPr>
              <w:jc w:val="center"/>
              <w:rPr>
                <w:sz w:val="24"/>
                <w:szCs w:val="24"/>
              </w:rPr>
            </w:pPr>
            <w:r>
              <w:rPr>
                <w:sz w:val="24"/>
                <w:szCs w:val="24"/>
              </w:rPr>
              <w:lastRenderedPageBreak/>
              <w:t>Nav ņemts vērā</w:t>
            </w:r>
          </w:p>
        </w:tc>
        <w:tc>
          <w:tcPr>
            <w:tcW w:w="4056" w:type="dxa"/>
            <w:shd w:val="clear" w:color="auto" w:fill="FFFFFF"/>
            <w:noWrap/>
            <w:tcMar>
              <w:top w:w="75" w:type="dxa"/>
              <w:left w:w="75" w:type="dxa"/>
              <w:bottom w:w="75" w:type="dxa"/>
              <w:right w:w="75" w:type="dxa"/>
            </w:tcMar>
          </w:tcPr>
          <w:p w14:paraId="07CEA544" w14:textId="2110746D" w:rsidR="00560755" w:rsidRPr="00560755" w:rsidRDefault="00560755" w:rsidP="0089150E">
            <w:pPr>
              <w:jc w:val="left"/>
              <w:rPr>
                <w:color w:val="auto"/>
                <w:sz w:val="24"/>
                <w:szCs w:val="24"/>
                <w:lang w:val="en-LV"/>
              </w:rPr>
            </w:pPr>
            <w:r w:rsidRPr="00560755">
              <w:rPr>
                <w:color w:val="auto"/>
                <w:sz w:val="24"/>
                <w:szCs w:val="24"/>
                <w:lang w:val="en-LV"/>
              </w:rPr>
              <w:t>D</w:t>
            </w:r>
            <w:r w:rsidRPr="00560755">
              <w:rPr>
                <w:color w:val="auto"/>
                <w:sz w:val="24"/>
                <w:szCs w:val="24"/>
                <w:lang w:val="en-LV"/>
              </w:rPr>
              <w:t xml:space="preserve">ibinātājam saglabājas pilnīga autonomija pār savu </w:t>
            </w:r>
            <w:r w:rsidRPr="00560755">
              <w:rPr>
                <w:color w:val="auto"/>
                <w:sz w:val="24"/>
                <w:szCs w:val="24"/>
                <w:lang w:val="en-LV"/>
              </w:rPr>
              <w:t>izglītības iestāžu</w:t>
            </w:r>
            <w:r w:rsidRPr="00560755">
              <w:rPr>
                <w:color w:val="auto"/>
                <w:sz w:val="24"/>
                <w:szCs w:val="24"/>
                <w:lang w:val="en-LV"/>
              </w:rPr>
              <w:t xml:space="preserve"> tīklu. Ja konkrēta izglītības iestāde tiek uzskatīta par stratēģiski nozīmīgu reģiona attīstībai un darba spēka piesaistei, dibinātājs var pieņemt lēmumu to saglabāt un nodrošināt nepieciešamo līdzfinansējumu vai pat pilnīgu finansējumu no saviem līdzekļiem. Regulējums šādu iespēju neierobežo.</w:t>
            </w:r>
          </w:p>
          <w:p w14:paraId="583C13DA" w14:textId="6F6F164F" w:rsidR="00560755" w:rsidRDefault="00560755" w:rsidP="00560755">
            <w:pPr>
              <w:pStyle w:val="NormalWeb"/>
            </w:pPr>
            <w:r>
              <w:t>Noteikumu projekts paredz gadījumus, kad valsts finansējums tiek piemērots proporcionāli faktiskajam izglītojamo skaitam. Gadījumos, kad netiek sasniegti kvantitatīvie rādītāji un netiek piemēroti elastības mehānismi, atbildība par turpmāko finansējumu gulstas uz dibinātāju.</w:t>
            </w:r>
            <w:r>
              <w:t xml:space="preserve"> </w:t>
            </w:r>
            <w:r>
              <w:t>Tas nozīmē, ka:</w:t>
            </w:r>
          </w:p>
          <w:p w14:paraId="13D2776D" w14:textId="77777777" w:rsidR="00560755" w:rsidRDefault="00560755" w:rsidP="00560755">
            <w:pPr>
              <w:pStyle w:val="NormalWeb"/>
              <w:numPr>
                <w:ilvl w:val="0"/>
                <w:numId w:val="10"/>
              </w:numPr>
            </w:pPr>
            <w:r>
              <w:lastRenderedPageBreak/>
              <w:t>dibinātājs var līdzfinansēt izglītības iestādi, ja valsts finansējums tiek samazināts;</w:t>
            </w:r>
          </w:p>
          <w:p w14:paraId="0C3C534A" w14:textId="77777777" w:rsidR="00560755" w:rsidRDefault="00560755" w:rsidP="00560755">
            <w:pPr>
              <w:pStyle w:val="NormalWeb"/>
              <w:numPr>
                <w:ilvl w:val="0"/>
                <w:numId w:val="10"/>
              </w:numPr>
            </w:pPr>
            <w:r>
              <w:t>dibinātājs var pilnībā finansēt iestādi, ja uzskata to par būtisku savā skolu tīkla ekosistēmā;</w:t>
            </w:r>
          </w:p>
          <w:p w14:paraId="0153E453" w14:textId="77777777" w:rsidR="00560755" w:rsidRDefault="00560755" w:rsidP="00560755">
            <w:pPr>
              <w:pStyle w:val="NormalWeb"/>
              <w:numPr>
                <w:ilvl w:val="0"/>
                <w:numId w:val="10"/>
              </w:numPr>
            </w:pPr>
            <w:r>
              <w:t>regulējums neierobežo dibinātāja tiesības uzturēt iestādi, bet precizē valsts līdzdalības apjomu.</w:t>
            </w:r>
          </w:p>
          <w:p w14:paraId="44315EE3" w14:textId="13B7BD87" w:rsidR="00560755" w:rsidRPr="00B60CDA" w:rsidRDefault="00560755" w:rsidP="00560755">
            <w:pPr>
              <w:pStyle w:val="NormalWeb"/>
            </w:pPr>
            <w:r>
              <w:t>Prognozēta reģiona attīstība pati par sevi nevar būt pamats atkāpei no vienoti piemērojamiem finansēšanas kritērijiem, jo tas radītu nevienlīdzīgu attieksmi starp teritorijām un interpretācijas risku. Taču dibinātājam saglabājas rīcības brīvība investēt savā izglītības tīklā atbilstoši attīstības stratēģijai.</w:t>
            </w:r>
          </w:p>
        </w:tc>
      </w:tr>
    </w:tbl>
    <w:p w14:paraId="0CA9B3A0" w14:textId="77777777" w:rsidR="00B93717" w:rsidRDefault="00B93717"/>
    <w:tbl>
      <w:tblPr>
        <w:tblStyle w:val="a"/>
        <w:tblW w:w="14567" w:type="dxa"/>
        <w:tblLayout w:type="fixed"/>
        <w:tblLook w:val="0600" w:firstRow="0" w:lastRow="0" w:firstColumn="0" w:lastColumn="0" w:noHBand="1" w:noVBand="1"/>
      </w:tblPr>
      <w:tblGrid>
        <w:gridCol w:w="4855"/>
        <w:gridCol w:w="4856"/>
        <w:gridCol w:w="4856"/>
      </w:tblGrid>
      <w:tr w:rsidR="00B93717" w14:paraId="31BD5FA4" w14:textId="77777777">
        <w:tc>
          <w:tcPr>
            <w:tcW w:w="4855" w:type="dxa"/>
            <w:shd w:val="clear" w:color="auto" w:fill="FFFFFF"/>
            <w:noWrap/>
            <w:tcMar>
              <w:top w:w="75" w:type="dxa"/>
              <w:left w:w="75" w:type="dxa"/>
              <w:bottom w:w="75" w:type="dxa"/>
              <w:right w:w="75" w:type="dxa"/>
            </w:tcMar>
            <w:vAlign w:val="center"/>
          </w:tcPr>
          <w:p w14:paraId="655CCB27" w14:textId="77777777" w:rsidR="00B93717"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33EA82B1" w14:textId="77777777" w:rsidR="00B93717" w:rsidRDefault="00B93717">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6A48CE1" w14:textId="77777777" w:rsidR="00B93717" w:rsidRDefault="00B93717"/>
        </w:tc>
      </w:tr>
      <w:tr w:rsidR="00B93717" w14:paraId="7EB4D5E4" w14:textId="77777777">
        <w:tc>
          <w:tcPr>
            <w:tcW w:w="4855" w:type="dxa"/>
            <w:shd w:val="clear" w:color="auto" w:fill="FFFFFF"/>
            <w:noWrap/>
            <w:tcMar>
              <w:top w:w="75" w:type="dxa"/>
              <w:left w:w="75" w:type="dxa"/>
              <w:bottom w:w="75" w:type="dxa"/>
              <w:right w:w="75" w:type="dxa"/>
            </w:tcMar>
            <w:vAlign w:val="center"/>
          </w:tcPr>
          <w:p w14:paraId="490AF07E" w14:textId="77777777" w:rsidR="00B93717" w:rsidRDefault="00B93717"/>
        </w:tc>
        <w:tc>
          <w:tcPr>
            <w:tcW w:w="4856" w:type="dxa"/>
            <w:shd w:val="clear" w:color="auto" w:fill="FFFFFF"/>
            <w:noWrap/>
            <w:tcMar>
              <w:top w:w="75" w:type="dxa"/>
              <w:left w:w="75" w:type="dxa"/>
              <w:bottom w:w="75" w:type="dxa"/>
              <w:right w:w="75" w:type="dxa"/>
            </w:tcMar>
            <w:vAlign w:val="center"/>
          </w:tcPr>
          <w:p w14:paraId="43B8EA6A" w14:textId="77777777" w:rsidR="00B93717" w:rsidRDefault="00000000">
            <w:pPr>
              <w:jc w:val="center"/>
            </w:pPr>
            <w:r>
              <w:t>(dd.mm.gggg)</w:t>
            </w:r>
          </w:p>
        </w:tc>
        <w:tc>
          <w:tcPr>
            <w:tcW w:w="4856" w:type="dxa"/>
            <w:shd w:val="clear" w:color="auto" w:fill="FFFFFF"/>
            <w:noWrap/>
            <w:tcMar>
              <w:top w:w="75" w:type="dxa"/>
              <w:left w:w="75" w:type="dxa"/>
              <w:bottom w:w="75" w:type="dxa"/>
              <w:right w:w="75" w:type="dxa"/>
            </w:tcMar>
            <w:vAlign w:val="center"/>
          </w:tcPr>
          <w:p w14:paraId="2805B9C7" w14:textId="77777777" w:rsidR="00B93717" w:rsidRDefault="00B93717"/>
        </w:tc>
      </w:tr>
      <w:tr w:rsidR="00B93717" w14:paraId="5B9977FA" w14:textId="77777777">
        <w:tc>
          <w:tcPr>
            <w:tcW w:w="4855" w:type="dxa"/>
            <w:shd w:val="clear" w:color="auto" w:fill="FFFFFF"/>
            <w:noWrap/>
            <w:tcMar>
              <w:top w:w="75" w:type="dxa"/>
              <w:left w:w="75" w:type="dxa"/>
              <w:bottom w:w="75" w:type="dxa"/>
              <w:right w:w="75" w:type="dxa"/>
            </w:tcMar>
            <w:vAlign w:val="center"/>
          </w:tcPr>
          <w:p w14:paraId="7A7E7A6B" w14:textId="77777777" w:rsidR="00B93717"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612B5EF8" w14:textId="77777777" w:rsidR="00B93717" w:rsidRDefault="00B93717">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7E732EC" w14:textId="77777777" w:rsidR="00B93717" w:rsidRDefault="00B93717"/>
        </w:tc>
      </w:tr>
      <w:tr w:rsidR="00B93717" w14:paraId="208AA81E" w14:textId="77777777">
        <w:tc>
          <w:tcPr>
            <w:tcW w:w="4855" w:type="dxa"/>
            <w:shd w:val="clear" w:color="auto" w:fill="FFFFFF"/>
            <w:noWrap/>
            <w:tcMar>
              <w:top w:w="75" w:type="dxa"/>
              <w:left w:w="75" w:type="dxa"/>
              <w:bottom w:w="75" w:type="dxa"/>
              <w:right w:w="75" w:type="dxa"/>
            </w:tcMar>
            <w:vAlign w:val="center"/>
          </w:tcPr>
          <w:p w14:paraId="299C8F68" w14:textId="77777777" w:rsidR="00B93717" w:rsidRDefault="00B93717"/>
        </w:tc>
        <w:tc>
          <w:tcPr>
            <w:tcW w:w="4856" w:type="dxa"/>
            <w:shd w:val="clear" w:color="auto" w:fill="FFFFFF"/>
            <w:noWrap/>
            <w:tcMar>
              <w:top w:w="75" w:type="dxa"/>
              <w:left w:w="75" w:type="dxa"/>
              <w:bottom w:w="75" w:type="dxa"/>
              <w:right w:w="75" w:type="dxa"/>
            </w:tcMar>
            <w:vAlign w:val="center"/>
          </w:tcPr>
          <w:p w14:paraId="76365D99" w14:textId="77777777" w:rsidR="00B93717"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1EB1A81A" w14:textId="77777777" w:rsidR="00B93717" w:rsidRDefault="00B93717"/>
        </w:tc>
      </w:tr>
    </w:tbl>
    <w:p w14:paraId="026042FF" w14:textId="77777777" w:rsidR="00B93717" w:rsidRDefault="00B93717"/>
    <w:p w14:paraId="41F6D7AD" w14:textId="77777777" w:rsidR="00B93717" w:rsidRDefault="00000000">
      <w:r>
        <w:t>Piezīmes.</w:t>
      </w:r>
    </w:p>
    <w:p w14:paraId="35BCD3AE" w14:textId="77777777" w:rsidR="00B93717" w:rsidRDefault="00000000">
      <w:r>
        <w:lastRenderedPageBreak/>
        <w:t>* Iesniedzējs (fiziskai personai – vārds, uzvārds, juridiskai personai – nosaukums) var tikt publiskots, ja viņš tam ir piekritis. Ja attiecināms, iesniedzējs norāda interešu pārstāvja reģistrācijas numuru.</w:t>
      </w:r>
    </w:p>
    <w:p w14:paraId="28117DCC" w14:textId="77777777" w:rsidR="00B93717" w:rsidRDefault="00000000">
      <w:r>
        <w:t>** Dokumenta rekvizītus "datums" un "paraksts" neaizpilda, ja elektroniskais dokuments ir sagatavots atbilstoši normatīvajiem aktiem par elektronisko dokumentu noformēšanu.</w:t>
      </w:r>
    </w:p>
    <w:sectPr w:rsidR="00B93717">
      <w:headerReference w:type="even" r:id="rId7"/>
      <w:headerReference w:type="default" r:id="rId8"/>
      <w:footerReference w:type="even"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55E84" w14:textId="77777777" w:rsidR="007F6F53" w:rsidRDefault="007F6F53">
      <w:r>
        <w:separator/>
      </w:r>
    </w:p>
  </w:endnote>
  <w:endnote w:type="continuationSeparator" w:id="0">
    <w:p w14:paraId="6A401010" w14:textId="77777777" w:rsidR="007F6F53" w:rsidRDefault="007F6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3B5E8" w14:textId="77777777" w:rsidR="00780605" w:rsidRDefault="007806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AD5AA" w14:textId="77777777" w:rsidR="00B93717" w:rsidRDefault="00000000">
    <w:pPr>
      <w:jc w:val="right"/>
    </w:pPr>
    <w:r>
      <w:rPr>
        <w:sz w:val="24"/>
        <w:szCs w:val="24"/>
      </w:rPr>
      <w:fldChar w:fldCharType="begin"/>
    </w:r>
    <w:r>
      <w:rPr>
        <w:sz w:val="24"/>
        <w:szCs w:val="24"/>
      </w:rPr>
      <w:instrText>PAGE</w:instrText>
    </w:r>
    <w:r w:rsidR="00780605">
      <w:rPr>
        <w:sz w:val="24"/>
        <w:szCs w:val="24"/>
      </w:rPr>
      <w:fldChar w:fldCharType="separate"/>
    </w:r>
    <w:r w:rsidR="00780605">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487C"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D43FD" w14:textId="77777777" w:rsidR="007F6F53" w:rsidRDefault="007F6F53">
      <w:r>
        <w:separator/>
      </w:r>
    </w:p>
  </w:footnote>
  <w:footnote w:type="continuationSeparator" w:id="0">
    <w:p w14:paraId="48C4CB3B" w14:textId="77777777" w:rsidR="007F6F53" w:rsidRDefault="007F6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EFB7" w14:textId="77777777" w:rsidR="00780605" w:rsidRDefault="007806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A79C" w14:textId="77777777" w:rsidR="00B93717" w:rsidRDefault="00000000">
    <w:pPr>
      <w:pStyle w:val="Header"/>
      <w:contextualSpacing w:val="0"/>
    </w:pPr>
    <w:r>
      <w:t>Viedokļu pārskats 26-TA-193</w:t>
    </w:r>
    <w:r>
      <w:br/>
      <w:t>Izdrukāts 26.02.2026. 07.11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0A5E6" w14:textId="77777777" w:rsidR="00B93717" w:rsidRDefault="00000000">
    <w:pPr>
      <w:pStyle w:val="Header"/>
      <w:contextualSpacing w:val="0"/>
    </w:pPr>
    <w:r>
      <w:t>Viedokļu pārskats 26-TA-193</w:t>
    </w:r>
    <w:r>
      <w:br/>
      <w:t>Izdrukāts 26.02.2026. 07.11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318FD"/>
    <w:multiLevelType w:val="multilevel"/>
    <w:tmpl w:val="C36C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245087"/>
    <w:multiLevelType w:val="multilevel"/>
    <w:tmpl w:val="23A6D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040237"/>
    <w:multiLevelType w:val="multilevel"/>
    <w:tmpl w:val="6C64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A83F1D"/>
    <w:multiLevelType w:val="multilevel"/>
    <w:tmpl w:val="E7C0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441B90"/>
    <w:multiLevelType w:val="multilevel"/>
    <w:tmpl w:val="4B546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BB6D23"/>
    <w:multiLevelType w:val="multilevel"/>
    <w:tmpl w:val="6F88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4876C0"/>
    <w:multiLevelType w:val="multilevel"/>
    <w:tmpl w:val="E0F2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F833B2"/>
    <w:multiLevelType w:val="multilevel"/>
    <w:tmpl w:val="D25C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92095B"/>
    <w:multiLevelType w:val="multilevel"/>
    <w:tmpl w:val="42BE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675D5A"/>
    <w:multiLevelType w:val="multilevel"/>
    <w:tmpl w:val="4456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3171509">
    <w:abstractNumId w:val="4"/>
  </w:num>
  <w:num w:numId="2" w16cid:durableId="498080494">
    <w:abstractNumId w:val="2"/>
  </w:num>
  <w:num w:numId="3" w16cid:durableId="1340504558">
    <w:abstractNumId w:val="5"/>
  </w:num>
  <w:num w:numId="4" w16cid:durableId="1558005509">
    <w:abstractNumId w:val="9"/>
  </w:num>
  <w:num w:numId="5" w16cid:durableId="915556282">
    <w:abstractNumId w:val="6"/>
  </w:num>
  <w:num w:numId="6" w16cid:durableId="1799369192">
    <w:abstractNumId w:val="8"/>
  </w:num>
  <w:num w:numId="7" w16cid:durableId="1292054730">
    <w:abstractNumId w:val="3"/>
  </w:num>
  <w:num w:numId="8" w16cid:durableId="1684164970">
    <w:abstractNumId w:val="0"/>
  </w:num>
  <w:num w:numId="9" w16cid:durableId="1990817038">
    <w:abstractNumId w:val="7"/>
  </w:num>
  <w:num w:numId="10" w16cid:durableId="728841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717"/>
    <w:rsid w:val="00391B90"/>
    <w:rsid w:val="003C70C3"/>
    <w:rsid w:val="00560755"/>
    <w:rsid w:val="006540C3"/>
    <w:rsid w:val="00780605"/>
    <w:rsid w:val="007F6F53"/>
    <w:rsid w:val="0084408C"/>
    <w:rsid w:val="0089150E"/>
    <w:rsid w:val="008F7A81"/>
    <w:rsid w:val="00966737"/>
    <w:rsid w:val="00A94A66"/>
    <w:rsid w:val="00B60CDA"/>
    <w:rsid w:val="00B82680"/>
    <w:rsid w:val="00B93717"/>
    <w:rsid w:val="00DE586B"/>
    <w:rsid w:val="00E75AB5"/>
    <w:rsid w:val="00FF17D6"/>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8D6F2"/>
  <w15:docId w15:val="{4332B1B4-A025-D348-A702-65BF54916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780605"/>
    <w:pPr>
      <w:tabs>
        <w:tab w:val="center" w:pos="4513"/>
        <w:tab w:val="right" w:pos="9026"/>
      </w:tabs>
    </w:pPr>
  </w:style>
  <w:style w:type="character" w:customStyle="1" w:styleId="FooterChar">
    <w:name w:val="Footer Char"/>
    <w:basedOn w:val="DefaultParagraphFont"/>
    <w:link w:val="Footer"/>
    <w:uiPriority w:val="99"/>
    <w:rsid w:val="00780605"/>
  </w:style>
  <w:style w:type="paragraph" w:styleId="NormalWeb">
    <w:name w:val="Normal (Web)"/>
    <w:basedOn w:val="Normal"/>
    <w:uiPriority w:val="99"/>
    <w:unhideWhenUsed/>
    <w:rsid w:val="0089150E"/>
    <w:pPr>
      <w:spacing w:before="100" w:beforeAutospacing="1" w:after="100" w:afterAutospacing="1"/>
      <w:jc w:val="left"/>
    </w:pPr>
    <w:rPr>
      <w:color w:val="auto"/>
      <w:sz w:val="24"/>
      <w:szCs w:val="24"/>
      <w:lang w:val="en-LV"/>
    </w:rPr>
  </w:style>
  <w:style w:type="paragraph" w:styleId="ListParagraph">
    <w:name w:val="List Paragraph"/>
    <w:basedOn w:val="Normal"/>
    <w:uiPriority w:val="34"/>
    <w:qFormat/>
    <w:rsid w:val="009667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41</Pages>
  <Words>10100</Words>
  <Characters>57572</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viedoklu_parskats_26-TA-193.docx</vt:lpstr>
    </vt:vector>
  </TitlesOfParts>
  <Company/>
  <LinksUpToDate>false</LinksUpToDate>
  <CharactersWithSpaces>67537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viedoklu_parskats_26-TA-193.docx</dc:title>
  <cp:lastModifiedBy>Ramona Urtāne</cp:lastModifiedBy>
  <cp:revision>10</cp:revision>
  <dcterms:created xsi:type="dcterms:W3CDTF">2026-02-26T05:12:00Z</dcterms:created>
  <dcterms:modified xsi:type="dcterms:W3CDTF">2026-02-26T06:50:00Z</dcterms:modified>
</cp:coreProperties>
</file>