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84DCB2" w14:textId="77777777" w:rsidR="008C314B" w:rsidRDefault="00CF2E21">
      <w:pPr>
        <w:spacing w:after="240"/>
        <w:jc w:val="center"/>
        <w:rPr>
          <w:b/>
        </w:rPr>
      </w:pPr>
      <w:r>
        <w:rPr>
          <w:b/>
        </w:rPr>
        <w:t>“Publiskās apspriešanas laikā 04.06.2025. - 18.06.2025. saņemto viedokļu, priekšlikumu un iebildumu apkopojums par Grozījumi Ministru kabineta 2014. gada 2. septembra noteikumos Nr.&amp;nbsp;529 &amp;</w:t>
      </w:r>
      <w:proofErr w:type="spellStart"/>
      <w:r>
        <w:rPr>
          <w:b/>
        </w:rPr>
        <w:t>quot;Ēku</w:t>
      </w:r>
      <w:proofErr w:type="spellEnd"/>
      <w:r>
        <w:rPr>
          <w:b/>
        </w:rPr>
        <w:t xml:space="preserve"> </w:t>
      </w:r>
      <w:proofErr w:type="spellStart"/>
      <w:r>
        <w:rPr>
          <w:b/>
        </w:rPr>
        <w:t>būvnoteikumi&amp;quot</w:t>
      </w:r>
      <w:proofErr w:type="spellEnd"/>
      <w:r>
        <w:rPr>
          <w:b/>
        </w:rPr>
        <w:t>;”</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8C314B" w14:paraId="1CB919CD" w14:textId="77777777">
        <w:tc>
          <w:tcPr>
            <w:tcW w:w="750" w:type="dxa"/>
            <w:shd w:val="clear" w:color="auto" w:fill="FFFFFF"/>
            <w:noWrap/>
            <w:tcMar>
              <w:top w:w="75" w:type="dxa"/>
              <w:left w:w="75" w:type="dxa"/>
              <w:bottom w:w="75" w:type="dxa"/>
              <w:right w:w="75" w:type="dxa"/>
            </w:tcMar>
            <w:vAlign w:val="center"/>
          </w:tcPr>
          <w:p w14:paraId="13138876" w14:textId="77777777" w:rsidR="008C314B" w:rsidRDefault="00CF2E21">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6F66CAA4" w14:textId="77777777" w:rsidR="008C314B" w:rsidRDefault="00CF2E21">
            <w:pPr>
              <w:jc w:val="center"/>
            </w:pPr>
            <w:r>
              <w:rPr>
                <w:b/>
              </w:rPr>
              <w:t xml:space="preserve">Viedokļa / </w:t>
            </w:r>
            <w:r>
              <w:rPr>
                <w:b/>
              </w:rPr>
              <w:t>priekšlikuma / iebilduma iesniedzējs*</w:t>
            </w:r>
          </w:p>
        </w:tc>
        <w:tc>
          <w:tcPr>
            <w:tcW w:w="4056" w:type="dxa"/>
            <w:shd w:val="clear" w:color="auto" w:fill="FFFFFF"/>
            <w:noWrap/>
            <w:tcMar>
              <w:top w:w="75" w:type="dxa"/>
              <w:left w:w="75" w:type="dxa"/>
              <w:bottom w:w="75" w:type="dxa"/>
              <w:right w:w="75" w:type="dxa"/>
            </w:tcMar>
            <w:vAlign w:val="center"/>
          </w:tcPr>
          <w:p w14:paraId="5578E31F" w14:textId="77777777" w:rsidR="008C314B" w:rsidRDefault="00CF2E21">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19AE0BAF" w14:textId="77777777" w:rsidR="008C314B" w:rsidRDefault="00CF2E21">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502EFDF" w14:textId="77777777" w:rsidR="008C314B" w:rsidRDefault="00CF2E21">
            <w:pPr>
              <w:jc w:val="center"/>
            </w:pPr>
            <w:r>
              <w:rPr>
                <w:b/>
              </w:rPr>
              <w:t>Skaidrojums, kādā veidā viedoklis / priekšlikums / iebildums ir ņemts vērā vai ņemts vērā daļēji, vai pamatojums, ja viedoklis / priekšlikums / iebildums nav ņemts vērā</w:t>
            </w:r>
          </w:p>
        </w:tc>
      </w:tr>
      <w:tr w:rsidR="008C314B" w14:paraId="79A5008C" w14:textId="77777777">
        <w:tc>
          <w:tcPr>
            <w:tcW w:w="750" w:type="dxa"/>
            <w:shd w:val="clear" w:color="auto" w:fill="FFFFFF"/>
            <w:noWrap/>
            <w:tcMar>
              <w:top w:w="75" w:type="dxa"/>
              <w:left w:w="75" w:type="dxa"/>
              <w:bottom w:w="75" w:type="dxa"/>
              <w:right w:w="75" w:type="dxa"/>
            </w:tcMar>
            <w:vAlign w:val="center"/>
          </w:tcPr>
          <w:p w14:paraId="041F9482" w14:textId="77777777" w:rsidR="008C314B" w:rsidRDefault="00CF2E21">
            <w:pPr>
              <w:jc w:val="center"/>
            </w:pPr>
            <w:r>
              <w:t>1.</w:t>
            </w:r>
          </w:p>
        </w:tc>
        <w:tc>
          <w:tcPr>
            <w:tcW w:w="4055" w:type="dxa"/>
            <w:shd w:val="clear" w:color="auto" w:fill="FFFFFF"/>
            <w:noWrap/>
            <w:tcMar>
              <w:top w:w="75" w:type="dxa"/>
              <w:left w:w="75" w:type="dxa"/>
              <w:bottom w:w="75" w:type="dxa"/>
              <w:right w:w="75" w:type="dxa"/>
            </w:tcMar>
            <w:vAlign w:val="center"/>
          </w:tcPr>
          <w:p w14:paraId="4A90FA32" w14:textId="77777777" w:rsidR="008C314B" w:rsidRDefault="00CF2E21">
            <w:pPr>
              <w:jc w:val="left"/>
            </w:pPr>
            <w:r>
              <w:t xml:space="preserve">Romāns </w:t>
            </w:r>
            <w:proofErr w:type="spellStart"/>
            <w:r>
              <w:t>Bedins</w:t>
            </w:r>
            <w:proofErr w:type="spellEnd"/>
          </w:p>
        </w:tc>
        <w:tc>
          <w:tcPr>
            <w:tcW w:w="4056" w:type="dxa"/>
            <w:shd w:val="clear" w:color="auto" w:fill="FFFFFF"/>
            <w:noWrap/>
            <w:tcMar>
              <w:top w:w="75" w:type="dxa"/>
              <w:left w:w="75" w:type="dxa"/>
              <w:bottom w:w="75" w:type="dxa"/>
              <w:right w:w="75" w:type="dxa"/>
            </w:tcMar>
            <w:vAlign w:val="center"/>
          </w:tcPr>
          <w:p w14:paraId="36DB2821" w14:textId="77777777" w:rsidR="008C314B" w:rsidRDefault="00CF2E21">
            <w:pPr>
              <w:jc w:val="left"/>
            </w:pPr>
            <w:r>
              <w:t xml:space="preserve">Ņemot vērā pašreizējo situāciju, kad daudzas nelielas savrupmājas Latvijā tiek būvētas ne tikai ar kādu </w:t>
            </w:r>
            <w:proofErr w:type="spellStart"/>
            <w:r>
              <w:t>ārtelpu</w:t>
            </w:r>
            <w:proofErr w:type="spellEnd"/>
            <w:r>
              <w:t xml:space="preserve">, bet arī kopīgi ar </w:t>
            </w:r>
            <w:proofErr w:type="spellStart"/>
            <w:r>
              <w:t>papīgtelpu</w:t>
            </w:r>
            <w:proofErr w:type="spellEnd"/>
            <w:r>
              <w:t xml:space="preserve"> (palīgēku) - garāžu ar aptuvenu platību 40-60 m2, uzskatu par lietderīgu izteikt noteikumu Nr. 529 "Ēku būvnoteikumi" 7.</w:t>
            </w:r>
            <w:r>
              <w:rPr>
                <w:vertAlign w:val="superscript"/>
              </w:rPr>
              <w:t>2</w:t>
            </w:r>
            <w:r>
              <w:t xml:space="preserve"> 1.apakšpunktu šādā redakcijā: "7.</w:t>
            </w:r>
            <w:r>
              <w:rPr>
                <w:vertAlign w:val="superscript"/>
              </w:rPr>
              <w:t>2 </w:t>
            </w:r>
            <w:r>
              <w:t xml:space="preserve">1. pirmās grupas ēkas vai otrās grupas viena dzīvokļa dzīvojamās ēkas ar kopējo platību, kas nepārsniedz </w:t>
            </w:r>
            <w:r>
              <w:rPr>
                <w:b/>
              </w:rPr>
              <w:t>250</w:t>
            </w:r>
            <w:r>
              <w:t xml:space="preserve"> m2, palīgēkas vai lauksaimniecības nedzīvojamās ēkas jauna būvniecība vai novietošana, izņemot šo </w:t>
            </w:r>
            <w:r>
              <w:lastRenderedPageBreak/>
              <w:t>noteikumu 7. un 7.1 punktā minēto gadījumu;".</w:t>
            </w:r>
          </w:p>
        </w:tc>
        <w:tc>
          <w:tcPr>
            <w:tcW w:w="1650" w:type="dxa"/>
            <w:shd w:val="clear" w:color="auto" w:fill="FFFFFF"/>
            <w:noWrap/>
            <w:tcMar>
              <w:top w:w="75" w:type="dxa"/>
              <w:left w:w="75" w:type="dxa"/>
              <w:bottom w:w="75" w:type="dxa"/>
              <w:right w:w="75" w:type="dxa"/>
            </w:tcMar>
            <w:vAlign w:val="center"/>
          </w:tcPr>
          <w:p w14:paraId="109F5D46" w14:textId="0CC332E4" w:rsidR="008C314B" w:rsidRDefault="00BF58DF">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49069A1F" w14:textId="2B22F45E" w:rsidR="008A0119" w:rsidRDefault="00F13048">
            <w:pPr>
              <w:jc w:val="left"/>
            </w:pPr>
            <w:r w:rsidRPr="00F13048">
              <w:t xml:space="preserve">Ministru kabineta 2025.gada 22.aprīļa sēdē tika atbalstīts informatīvais ziņojums </w:t>
            </w:r>
            <w:r w:rsidR="00EE2443">
              <w:t>“</w:t>
            </w:r>
            <w:r w:rsidRPr="00F13048">
              <w:t>Par prioritārajiem pasākumiem birokrātijas mazināšanai 2025. gadā</w:t>
            </w:r>
            <w:r w:rsidR="00EE2443">
              <w:t>”</w:t>
            </w:r>
            <w:r w:rsidRPr="00F13048">
              <w:t xml:space="preserve">, kurā </w:t>
            </w:r>
            <w:r>
              <w:t xml:space="preserve">tika </w:t>
            </w:r>
            <w:r w:rsidR="008A0119">
              <w:t>ietverti konkrēti</w:t>
            </w:r>
            <w:r w:rsidRPr="00F13048">
              <w:t xml:space="preserve"> prioritāri pasākumi būvniecībā</w:t>
            </w:r>
            <w:r w:rsidR="008A0119">
              <w:t xml:space="preserve">, kas </w:t>
            </w:r>
            <w:r w:rsidR="00EE2443">
              <w:t>iepriekš tika vērtēti Valsts kancelejas izveidotajā darba grupā.</w:t>
            </w:r>
          </w:p>
          <w:p w14:paraId="4CC9ED64" w14:textId="4F3D08A6" w:rsidR="008C314B" w:rsidRDefault="003E68F1" w:rsidP="0051518E">
            <w:pPr>
              <w:jc w:val="left"/>
            </w:pPr>
            <w:r>
              <w:t xml:space="preserve">Ņemot vērā </w:t>
            </w:r>
            <w:r w:rsidR="00CE5854">
              <w:t xml:space="preserve">pasākumā ietverto uzdevumu </w:t>
            </w:r>
            <w:r w:rsidR="00F13048" w:rsidRPr="00F13048">
              <w:t>būtiski atvieglot privātmāju būvniecības administratīvo procesu, nosakot, ka viendzīvokļa dzīvojamās mājas, kuras iekštelpu platība nepārsniedz 150m</w:t>
            </w:r>
            <w:r w:rsidR="00F13048" w:rsidRPr="00530D51">
              <w:rPr>
                <w:vertAlign w:val="superscript"/>
              </w:rPr>
              <w:t>2</w:t>
            </w:r>
            <w:r w:rsidR="00F13048" w:rsidRPr="00F13048">
              <w:t xml:space="preserve">, būvniecībai </w:t>
            </w:r>
            <w:r w:rsidR="00F13048" w:rsidRPr="00F13048">
              <w:lastRenderedPageBreak/>
              <w:t>piemēro paskaidrojuma raksta procesu (pasākums Nr.19)</w:t>
            </w:r>
            <w:r w:rsidR="0051518E">
              <w:t>, noteikumu projektā</w:t>
            </w:r>
            <w:r w:rsidR="00FA0AE0">
              <w:t xml:space="preserve"> </w:t>
            </w:r>
            <w:r w:rsidR="00530D51">
              <w:t>netiks mainīt</w:t>
            </w:r>
            <w:r w:rsidR="00634839">
              <w:t>a ēkas kopējā</w:t>
            </w:r>
            <w:r w:rsidR="00FA0AE0">
              <w:t xml:space="preserve"> </w:t>
            </w:r>
            <w:r w:rsidR="00634839">
              <w:t>platība uz 250 m</w:t>
            </w:r>
            <w:r w:rsidR="00634839" w:rsidRPr="00634839">
              <w:rPr>
                <w:vertAlign w:val="superscript"/>
              </w:rPr>
              <w:t>2</w:t>
            </w:r>
            <w:r w:rsidR="00634839">
              <w:t>.</w:t>
            </w:r>
          </w:p>
        </w:tc>
      </w:tr>
      <w:tr w:rsidR="008C314B" w14:paraId="2CA82605" w14:textId="77777777">
        <w:tc>
          <w:tcPr>
            <w:tcW w:w="750" w:type="dxa"/>
            <w:shd w:val="clear" w:color="auto" w:fill="FFFFFF"/>
            <w:noWrap/>
            <w:tcMar>
              <w:top w:w="75" w:type="dxa"/>
              <w:left w:w="75" w:type="dxa"/>
              <w:bottom w:w="75" w:type="dxa"/>
              <w:right w:w="75" w:type="dxa"/>
            </w:tcMar>
            <w:vAlign w:val="center"/>
          </w:tcPr>
          <w:p w14:paraId="4A12F84A" w14:textId="77777777" w:rsidR="008C314B" w:rsidRDefault="00CF2E21">
            <w:pPr>
              <w:jc w:val="center"/>
            </w:pPr>
            <w:r>
              <w:lastRenderedPageBreak/>
              <w:t>2.</w:t>
            </w:r>
          </w:p>
        </w:tc>
        <w:tc>
          <w:tcPr>
            <w:tcW w:w="4055" w:type="dxa"/>
            <w:shd w:val="clear" w:color="auto" w:fill="FFFFFF"/>
            <w:noWrap/>
            <w:tcMar>
              <w:top w:w="75" w:type="dxa"/>
              <w:left w:w="75" w:type="dxa"/>
              <w:bottom w:w="75" w:type="dxa"/>
              <w:right w:w="75" w:type="dxa"/>
            </w:tcMar>
            <w:vAlign w:val="center"/>
          </w:tcPr>
          <w:p w14:paraId="54CC0B6B" w14:textId="77777777" w:rsidR="008C314B" w:rsidRDefault="00CF2E21">
            <w:pPr>
              <w:jc w:val="left"/>
            </w:pPr>
            <w:r>
              <w:t xml:space="preserve">Atis </w:t>
            </w:r>
            <w:proofErr w:type="spellStart"/>
            <w:r>
              <w:t>Sedlenieks</w:t>
            </w:r>
            <w:proofErr w:type="spellEnd"/>
          </w:p>
        </w:tc>
        <w:tc>
          <w:tcPr>
            <w:tcW w:w="4056" w:type="dxa"/>
            <w:shd w:val="clear" w:color="auto" w:fill="FFFFFF"/>
            <w:noWrap/>
            <w:tcMar>
              <w:top w:w="75" w:type="dxa"/>
              <w:left w:w="75" w:type="dxa"/>
              <w:bottom w:w="75" w:type="dxa"/>
              <w:right w:w="75" w:type="dxa"/>
            </w:tcMar>
            <w:vAlign w:val="center"/>
          </w:tcPr>
          <w:p w14:paraId="32DEEE39" w14:textId="77777777" w:rsidR="008C314B" w:rsidRDefault="00CF2E21">
            <w:pPr>
              <w:jc w:val="left"/>
            </w:pPr>
            <w:r>
              <w:rPr>
                <w:b/>
              </w:rPr>
              <w:t>Kvalitātes un drošības pazemināšanās:</w:t>
            </w:r>
            <w:r>
              <w:t xml:space="preserve"> Pāreja no būvprojekta uz paziņojumu par būvniecību samazina dokumentācijas prasības un pārnes atbildību uz būvniecības ierosinātājiem, kuriem var trūkt nepieciešamās kvalifikācijas. Tas ilgtermiņā var novest pie ēku ātrākas nolietošanās, dārgākiem remontdarbiem un pat apdraudēt cilvēku drošību.</w:t>
            </w:r>
            <w:r>
              <w:br/>
            </w:r>
            <w:r>
              <w:br/>
            </w:r>
            <w:r>
              <w:rPr>
                <w:b/>
              </w:rPr>
              <w:t>Vides un teritorijas plānošanas degradācija:</w:t>
            </w:r>
            <w:r>
              <w:t xml:space="preserve"> Atvieglotā kārtība var veicināt nekontrolētu apbūvi, īpaši ekoloģiski un ainaviski vērtīgās teritorijās, piemēram, kāpu aizsargjoslās un applūstošās teritorijās. Pastāv </w:t>
            </w:r>
            <w:r>
              <w:t xml:space="preserve">risks, ka tiks ignorēti pašvaldību teritorijas plānojumi, radot haotisku apbūvi un palielinot slodzi uz publisko </w:t>
            </w:r>
            <w:r>
              <w:lastRenderedPageBreak/>
              <w:t>infrastruktūru.</w:t>
            </w:r>
            <w:r>
              <w:br/>
            </w:r>
            <w:r>
              <w:br/>
            </w:r>
            <w:r>
              <w:rPr>
                <w:b/>
              </w:rPr>
              <w:t>Negodīga konkurence un speciālistu lomas mazināšanās:</w:t>
            </w:r>
            <w:r>
              <w:t xml:space="preserve"> Samazinātās prasības var dot priekšroku negodprātīgiem arhitektiem, kuri upurē kvalitāti zemākas cenas vārdā, negatīvi ietekmējot profesionālus un atbildīgus nozares speciālistus, kas ilgtermiņā var pazemināt nozares profesionālo līmeni.</w:t>
            </w:r>
            <w:r>
              <w:br/>
            </w:r>
            <w:r>
              <w:br/>
            </w:r>
            <w:r>
              <w:rPr>
                <w:b/>
              </w:rPr>
              <w:t>Sociālekonomiskās sekas:</w:t>
            </w:r>
            <w:r>
              <w:t xml:space="preserve"> Vienkāršotā kārtībā būvētas zemas kvalitātes ēkas var negatīvi i</w:t>
            </w:r>
            <w:r>
              <w:t xml:space="preserve">etekmēt blakus esošo īpašumu vērtību. Pastāv risks radīt divu līmeņu mājokļu tirgu, kur zemākas kvalitātes un potenciāli nedrošāki mājokļi kļūst pieejami sociāli </w:t>
            </w:r>
            <w:proofErr w:type="spellStart"/>
            <w:r>
              <w:t>mazaizsargātām</w:t>
            </w:r>
            <w:proofErr w:type="spellEnd"/>
            <w:r>
              <w:t xml:space="preserve"> grupām, tādējādi palielinot sociālo nevienlīdzību.</w:t>
            </w:r>
            <w:r>
              <w:br/>
            </w:r>
            <w:r>
              <w:br/>
            </w:r>
            <w:r>
              <w:rPr>
                <w:b/>
              </w:rPr>
              <w:t>Starptautiskā Pieredze:</w:t>
            </w:r>
            <w:r>
              <w:br/>
              <w:t>Zviedrijas "</w:t>
            </w:r>
            <w:proofErr w:type="spellStart"/>
            <w:r>
              <w:t>Attefallshus</w:t>
            </w:r>
            <w:proofErr w:type="spellEnd"/>
            <w:r>
              <w:t xml:space="preserve">" reforma ir ļoti līdzīga šai iecerei. Mājokļu </w:t>
            </w:r>
            <w:r>
              <w:lastRenderedPageBreak/>
              <w:t>deficītu tā praktiski nemazināja, bet radīja jaunu slodzi pašvaldībām.</w:t>
            </w:r>
            <w:r>
              <w:br/>
              <w:t xml:space="preserve">Lielbritānijas pieredze rāda, ka ilgstoša </w:t>
            </w:r>
            <w:proofErr w:type="spellStart"/>
            <w:r>
              <w:t>deregulācija</w:t>
            </w:r>
            <w:proofErr w:type="spellEnd"/>
            <w:r>
              <w:t xml:space="preserve"> var novest pie standartu pazemināšanās un traģiskām sekām, kā </w:t>
            </w:r>
            <w:proofErr w:type="spellStart"/>
            <w:r>
              <w:t>Grenfell</w:t>
            </w:r>
            <w:proofErr w:type="spellEnd"/>
            <w:r>
              <w:t xml:space="preserve"> </w:t>
            </w:r>
            <w:proofErr w:type="spellStart"/>
            <w:r>
              <w:t>Tower</w:t>
            </w:r>
            <w:proofErr w:type="spellEnd"/>
            <w:r>
              <w:t xml:space="preserve"> ugunsgrēks.</w:t>
            </w:r>
          </w:p>
        </w:tc>
        <w:tc>
          <w:tcPr>
            <w:tcW w:w="1650" w:type="dxa"/>
            <w:shd w:val="clear" w:color="auto" w:fill="FFFFFF"/>
            <w:noWrap/>
            <w:tcMar>
              <w:top w:w="75" w:type="dxa"/>
              <w:left w:w="75" w:type="dxa"/>
              <w:bottom w:w="75" w:type="dxa"/>
              <w:right w:w="75" w:type="dxa"/>
            </w:tcMar>
            <w:vAlign w:val="center"/>
          </w:tcPr>
          <w:p w14:paraId="2D65DF31" w14:textId="4AABA67B" w:rsidR="008C314B" w:rsidRDefault="0063633D">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4792D03" w14:textId="77777777" w:rsidR="00B42863" w:rsidRDefault="00B42863" w:rsidP="00B42863">
            <w:pPr>
              <w:jc w:val="left"/>
            </w:pPr>
            <w:r>
              <w:t xml:space="preserve">Noteikumu projekts izstrādāts, lai izpildītu </w:t>
            </w:r>
            <w:r w:rsidRPr="00105EA1">
              <w:t>informatīva</w:t>
            </w:r>
            <w:r>
              <w:t>jā</w:t>
            </w:r>
            <w:r w:rsidRPr="00105EA1">
              <w:t xml:space="preserve"> ziņojum</w:t>
            </w:r>
            <w:r>
              <w:t>ā</w:t>
            </w:r>
            <w:r w:rsidRPr="00105EA1">
              <w:t xml:space="preserve"> “Par prioritārajiem pasākumiem birokrātijas mazināšanai 2025. gadā”</w:t>
            </w:r>
            <w:r>
              <w:t xml:space="preserve"> ietvertos prioritāros pasākumus, par ko iepriekš ir vienojusies Valsts kancelejas izveidotajā darba grupā. </w:t>
            </w:r>
          </w:p>
          <w:p w14:paraId="2C7BBC93" w14:textId="77777777" w:rsidR="00ED19A2" w:rsidRDefault="00ED19A2" w:rsidP="00B42863">
            <w:pPr>
              <w:jc w:val="left"/>
            </w:pPr>
          </w:p>
          <w:p w14:paraId="16341C14" w14:textId="36FB5C42" w:rsidR="00ED19A2" w:rsidRDefault="00ED19A2" w:rsidP="00B42863">
            <w:pPr>
              <w:jc w:val="left"/>
            </w:pPr>
            <w:r>
              <w:t xml:space="preserve">Vēršam uzmanību, ka noteikumu projekts neparedz obligātu būvvaldes akceptu, taču tas nekādā veidā nenoņem būvvaldes kompetenci pārliecināties par būvniecības administratīvā procesa tiesiskumu. Būvvalde BIS saņem informāciju par iesniegtajiem paziņojumiem un tai ir tiesības veikt šādas būvniecības tiesiskuma kontroli, tai skaitā procesa sākumposmā, nemaz nepieļaujot prettiesisko darbu uzsākšanu. </w:t>
            </w:r>
          </w:p>
          <w:p w14:paraId="3179CE7E" w14:textId="7B2FAF4E" w:rsidR="00ED19A2" w:rsidRDefault="00ED19A2" w:rsidP="00B42863">
            <w:pPr>
              <w:jc w:val="left"/>
            </w:pPr>
            <w:r>
              <w:lastRenderedPageBreak/>
              <w:t xml:space="preserve">EM uzskata, ka paziņošanas kārtība mazina patvaļīgās būvniecības risku, jo šobrīd būvvalde iegūst informāciju par iespējamiem normatīvo aktu pārkāpumiem, pamatā reaģējot uz sūdzībām. Būvvalde var veikt arī kontroli apvidū, taču tas prasa lielus resursus un ne vienmēr ir efektīva. </w:t>
            </w:r>
          </w:p>
          <w:p w14:paraId="1B473206" w14:textId="77777777" w:rsidR="00ED19A2" w:rsidRDefault="00ED19A2" w:rsidP="00B42863">
            <w:pPr>
              <w:jc w:val="left"/>
            </w:pPr>
          </w:p>
          <w:p w14:paraId="3CB3D4AB" w14:textId="3FE44305" w:rsidR="00ED19A2" w:rsidRDefault="00ED19A2" w:rsidP="00B42863">
            <w:pPr>
              <w:jc w:val="left"/>
            </w:pPr>
            <w:r>
              <w:t xml:space="preserve">Paziņošanas kārtība veicina aktuālu datu iegūšanu par ēkām un būvēm. </w:t>
            </w:r>
          </w:p>
          <w:p w14:paraId="1EC4627E" w14:textId="77777777" w:rsidR="00ED19A2" w:rsidRDefault="00ED19A2" w:rsidP="00B42863">
            <w:pPr>
              <w:jc w:val="left"/>
            </w:pPr>
          </w:p>
          <w:p w14:paraId="6AA83FDB" w14:textId="31C9EF11" w:rsidR="00ED19A2" w:rsidRDefault="00ED19A2" w:rsidP="00B42863">
            <w:pPr>
              <w:jc w:val="left"/>
            </w:pPr>
            <w:r>
              <w:t xml:space="preserve">Regulējums </w:t>
            </w:r>
            <w:r w:rsidR="00D92FC3">
              <w:t xml:space="preserve">atvieglo būvniecības administratīvo procesu un neliedz personai iesaistīt kvalificētus speciālistus gan būvniecības plānošanas posmā, gan arī būvniecības ieceres realizācijā. Plānojam BIS sistēmā ielikt automātisku paziņojumu par pienākumu ievērot teritorijas plānojuma prasības, kā arī cita normatīvā regulējuma prasības un brīdinājumu par atbildību par patvaļīgu būvniecību. </w:t>
            </w:r>
          </w:p>
          <w:p w14:paraId="5FF1428E" w14:textId="77777777" w:rsidR="00D92FC3" w:rsidRDefault="00D92FC3" w:rsidP="00B42863">
            <w:pPr>
              <w:jc w:val="left"/>
            </w:pPr>
            <w:r>
              <w:lastRenderedPageBreak/>
              <w:t xml:space="preserve">EM ir stiprinājusi sertificēto arhitektu uzraudzību, kas ir primāri vērsta uz atbildības pastiprināšanu par nekvalitatīvi veikto pakalpojumu. </w:t>
            </w:r>
          </w:p>
          <w:p w14:paraId="39F43AB9" w14:textId="77777777" w:rsidR="00D92FC3" w:rsidRDefault="00D92FC3" w:rsidP="00B42863">
            <w:pPr>
              <w:jc w:val="left"/>
            </w:pPr>
          </w:p>
          <w:p w14:paraId="379816D0" w14:textId="22130958" w:rsidR="00D92FC3" w:rsidRDefault="00D92FC3" w:rsidP="00B42863">
            <w:pPr>
              <w:jc w:val="left"/>
            </w:pPr>
            <w:r>
              <w:t xml:space="preserve">Paziņošanas kārtība attiecas uz 1.grupas ēkām, vēršam uzmanību, ka jau šobrīd Ēku būvnoteikumi pieļauj pašam projektēt un būvēt 1.grupas dzīvojamās mājas. Būvvaldes kompetence ir aprobežota ar administratīvā procesa tiesiskumu un jau šobrīd neparedz kontroli par būvprojekta (rasējumu) kvalitāti. </w:t>
            </w:r>
          </w:p>
          <w:p w14:paraId="38303684" w14:textId="77777777" w:rsidR="008C314B" w:rsidRDefault="008C314B">
            <w:pPr>
              <w:jc w:val="left"/>
            </w:pPr>
          </w:p>
        </w:tc>
      </w:tr>
      <w:tr w:rsidR="008C314B" w14:paraId="40AAFDF0" w14:textId="77777777">
        <w:tc>
          <w:tcPr>
            <w:tcW w:w="750" w:type="dxa"/>
            <w:shd w:val="clear" w:color="auto" w:fill="FFFFFF"/>
            <w:noWrap/>
            <w:tcMar>
              <w:top w:w="75" w:type="dxa"/>
              <w:left w:w="75" w:type="dxa"/>
              <w:bottom w:w="75" w:type="dxa"/>
              <w:right w:w="75" w:type="dxa"/>
            </w:tcMar>
            <w:vAlign w:val="center"/>
          </w:tcPr>
          <w:p w14:paraId="49C74CE8" w14:textId="77777777" w:rsidR="008C314B" w:rsidRDefault="00CF2E21">
            <w:pPr>
              <w:jc w:val="center"/>
            </w:pPr>
            <w:r>
              <w:lastRenderedPageBreak/>
              <w:t>3.</w:t>
            </w:r>
          </w:p>
        </w:tc>
        <w:tc>
          <w:tcPr>
            <w:tcW w:w="4055" w:type="dxa"/>
            <w:shd w:val="clear" w:color="auto" w:fill="FFFFFF"/>
            <w:noWrap/>
            <w:tcMar>
              <w:top w:w="75" w:type="dxa"/>
              <w:left w:w="75" w:type="dxa"/>
              <w:bottom w:w="75" w:type="dxa"/>
              <w:right w:w="75" w:type="dxa"/>
            </w:tcMar>
            <w:vAlign w:val="center"/>
          </w:tcPr>
          <w:p w14:paraId="7DDE37DE" w14:textId="77777777" w:rsidR="008C314B" w:rsidRDefault="00CF2E21">
            <w:pPr>
              <w:jc w:val="left"/>
            </w:pPr>
            <w:r>
              <w:t>*SIA GB STUDIO</w:t>
            </w:r>
          </w:p>
        </w:tc>
        <w:tc>
          <w:tcPr>
            <w:tcW w:w="4056" w:type="dxa"/>
            <w:shd w:val="clear" w:color="auto" w:fill="FFFFFF"/>
            <w:noWrap/>
            <w:tcMar>
              <w:top w:w="75" w:type="dxa"/>
              <w:left w:w="75" w:type="dxa"/>
              <w:bottom w:w="75" w:type="dxa"/>
              <w:right w:w="75" w:type="dxa"/>
            </w:tcMar>
            <w:vAlign w:val="center"/>
          </w:tcPr>
          <w:p w14:paraId="51124CD0" w14:textId="77777777" w:rsidR="008C314B" w:rsidRDefault="00CF2E21">
            <w:pPr>
              <w:jc w:val="left"/>
            </w:pPr>
            <w:r>
              <w:t>Ļoti īsā versija - uzskatām, ka šie grozījumi ir pretrunā ar Nacionālā attīstības plānā minēto 250.punkut un paskaidrosim, kāpēc.</w:t>
            </w:r>
            <w:r>
              <w:br/>
            </w:r>
            <w:r>
              <w:br/>
              <w:t>Kontekstam:</w:t>
            </w:r>
            <w:r>
              <w:br/>
              <w:t xml:space="preserve">Pēc </w:t>
            </w:r>
            <w:proofErr w:type="spellStart"/>
            <w:r>
              <w:t>izniegto</w:t>
            </w:r>
            <w:proofErr w:type="spellEnd"/>
            <w:r>
              <w:t xml:space="preserve"> būvatļauju apjoma privātmājas (t.sk. vasarnīcas un dārza mājas) ir 2/3 no valstī </w:t>
            </w:r>
            <w:proofErr w:type="spellStart"/>
            <w:r>
              <w:t>izniegtajām</w:t>
            </w:r>
            <w:proofErr w:type="spellEnd"/>
            <w:r>
              <w:t xml:space="preserve"> būvatļaujām.*</w:t>
            </w:r>
            <w:r>
              <w:br/>
            </w:r>
            <w:r>
              <w:lastRenderedPageBreak/>
              <w:t>Pēc šo būvatļauju aptvertās platības tā ir 1/3 no visas platības, kas tiek skarta būvniecības procesā būvatļauju formā.*</w:t>
            </w:r>
            <w:r>
              <w:br/>
            </w:r>
            <w:r>
              <w:br/>
              <w:t xml:space="preserve">Individuālo dzīvojamo ēku celtniecība ir milzīga industrijas daļa, kuras </w:t>
            </w:r>
            <w:proofErr w:type="spellStart"/>
            <w:r>
              <w:t>regulētība</w:t>
            </w:r>
            <w:proofErr w:type="spellEnd"/>
            <w:r>
              <w:t xml:space="preserve"> un kvalitāte atstāj visaptverošu iespaidu uz visu </w:t>
            </w:r>
            <w:proofErr w:type="spellStart"/>
            <w:r>
              <w:t>būvnicības</w:t>
            </w:r>
            <w:proofErr w:type="spellEnd"/>
            <w:r>
              <w:t xml:space="preserve"> nozari sekojošos veidos:</w:t>
            </w:r>
            <w:r>
              <w:br/>
              <w:t xml:space="preserve">- Nodokļu nepilna iekasēšana (nelegālas būvbrigādes, kas ietver arī darbinieku </w:t>
            </w:r>
            <w:proofErr w:type="spellStart"/>
            <w:r>
              <w:t>dzīvības,veselības</w:t>
            </w:r>
            <w:proofErr w:type="spellEnd"/>
            <w:r>
              <w:t xml:space="preserve"> un sociālos ri</w:t>
            </w:r>
            <w:r>
              <w:t>skus)</w:t>
            </w:r>
            <w:r>
              <w:br/>
              <w:t xml:space="preserve">- Kļūdaini vai apzināti nepatiesi dati par </w:t>
            </w:r>
            <w:proofErr w:type="spellStart"/>
            <w:r>
              <w:t>būvizmaksu</w:t>
            </w:r>
            <w:proofErr w:type="spellEnd"/>
            <w:r>
              <w:t xml:space="preserve"> (tostarp nelegālas nodarbinātības slēpšanai), tostarp jau agrās būvniecības stadijās, lai izvairītos no tādu prasību piemērošana, kā EDLUS </w:t>
            </w:r>
            <w:proofErr w:type="spellStart"/>
            <w:r>
              <w:t>utt</w:t>
            </w:r>
            <w:proofErr w:type="spellEnd"/>
            <w:r>
              <w:t> </w:t>
            </w:r>
            <w:r>
              <w:br/>
              <w:t xml:space="preserve">- Kredītiestāžu nespēja kreditēt privātmāju būvniecību pietiekamā apmērā (jo visi balstās nepareizos datos par </w:t>
            </w:r>
            <w:proofErr w:type="spellStart"/>
            <w:r>
              <w:t>būvizmaksu</w:t>
            </w:r>
            <w:proofErr w:type="spellEnd"/>
            <w:r>
              <w:t>), vai arī ar ”milzīgu” risku iedzīvoties “sliktos” kredītos</w:t>
            </w:r>
            <w:r>
              <w:br/>
            </w:r>
            <w:r>
              <w:lastRenderedPageBreak/>
              <w:t>- Nelielās būvfirmas ir tā nozares daļa, kas bieži būvē privātmājas un šajā nozarē būvdarbu kvalitāte ir tieši atkarīga no pro</w:t>
            </w:r>
            <w:r>
              <w:t xml:space="preserve">jektu kvalitātes un to sastāva. Kāpēc? Jo nevar </w:t>
            </w:r>
            <w:proofErr w:type="spellStart"/>
            <w:r>
              <w:t>iztāmēt</w:t>
            </w:r>
            <w:proofErr w:type="spellEnd"/>
            <w:r>
              <w:t xml:space="preserve"> to, kas nav uzprojektēts un tad to nevar arī uzbūvēt, jo tāmē iekļaut var tikai to, par ko klients var samaksāt, bet, ja bankas kredīts balstīts nepareizos datos, tad pilnu summu būvniecībai nerēķina ne </w:t>
            </w:r>
            <w:proofErr w:type="spellStart"/>
            <w:r>
              <w:t>benka</w:t>
            </w:r>
            <w:proofErr w:type="spellEnd"/>
            <w:r>
              <w:t xml:space="preserve">, ne klients, ne būvfirmas. Tā rodas daudzās </w:t>
            </w:r>
            <w:proofErr w:type="spellStart"/>
            <w:r>
              <w:t>puspabeigtās</w:t>
            </w:r>
            <w:proofErr w:type="spellEnd"/>
            <w:r>
              <w:t xml:space="preserve"> jaunbūves.</w:t>
            </w:r>
            <w:r>
              <w:br/>
            </w:r>
            <w:r>
              <w:br/>
              <w:t>Samazinot projektu kvalitātes prasības** , sagaidāms, ka ar pilnu jaudu norisināsies šādi procesi:</w:t>
            </w:r>
            <w:r>
              <w:br/>
              <w:t>- Degradēsies lielas daļas individuālo dzīvojamo māju tehniskā un arhitektonisk</w:t>
            </w:r>
            <w:r>
              <w:t>ā kvalitāte ar ļoti tālejošām sekām;</w:t>
            </w:r>
            <w:r>
              <w:br/>
              <w:t xml:space="preserve">- Tas, savukārt, nākotnē degradēs lielu daļu to teritoriju, kas nav ļoti stingrā būvvaldes kontrolē vai jau atzītas par aizsargājamām, tādejādi pakāpeniski pasliktinot </w:t>
            </w:r>
            <w:r>
              <w:lastRenderedPageBreak/>
              <w:t>vides kvalitāti ļoti lielam iedzīvotāju skaitam;</w:t>
            </w:r>
            <w:r>
              <w:br/>
              <w:t>- Turpinās zelt “ēnu būvniecības” apjoms un ar to saistītās "blaknes" kā neiekasēti nodokļi, kropļota izpratne par būvniecības izmaksām un no tā izrietošās tālākās sekas</w:t>
            </w:r>
            <w:r>
              <w:br/>
              <w:t>- Turpinās pieaugt “neizskaidrojamas” šī dzīvojamo māju segmenta nekustamā īpašuma reali</w:t>
            </w:r>
            <w:r>
              <w:t xml:space="preserve">zācijas cenu neatbilstība īstenībai un </w:t>
            </w:r>
            <w:proofErr w:type="spellStart"/>
            <w:r>
              <w:t>nesamērojamība</w:t>
            </w:r>
            <w:proofErr w:type="spellEnd"/>
            <w:r>
              <w:t xml:space="preserve"> ar būvniecības izmaksām</w:t>
            </w:r>
            <w:r>
              <w:br/>
              <w:t xml:space="preserve">- Cilvēki turpinās kļūdīties pieņēmumos, ka "nopirkt neko nevar, labāk būvēšu pats" , bet faktiski uzbūvēt kvalitatīvu gandrīz nulles enerģijas klases mājokli ir krietni dārgāk, kā tādu nopirkt gatavu (jo laba šāda mājokļa labā lokācijā tirgū nav), tāpēc pieaug </w:t>
            </w:r>
            <w:proofErr w:type="spellStart"/>
            <w:r>
              <w:t>puspabeigto</w:t>
            </w:r>
            <w:proofErr w:type="spellEnd"/>
            <w:r>
              <w:t xml:space="preserve"> būvobjektu skaits, kas atkal kā nelikvīdi nonāk pārdošanas tirgū, situāciju tikai </w:t>
            </w:r>
            <w:proofErr w:type="spellStart"/>
            <w:r>
              <w:t>eskalējot</w:t>
            </w:r>
            <w:proofErr w:type="spellEnd"/>
            <w:r>
              <w:t xml:space="preserve">;- Nākotnē sagaidāms absolūti degradēto </w:t>
            </w:r>
            <w:r>
              <w:lastRenderedPageBreak/>
              <w:t>dzīvojamo rajonu vairošanās r</w:t>
            </w:r>
            <w:r>
              <w:t xml:space="preserve">isks. Sākumā aritmētiski, pavisam drīz ģeometriski, kas vēl vairāk saasinās sabiedrības polarizācijas līmeni.- Pašlaik </w:t>
            </w:r>
            <w:proofErr w:type="spellStart"/>
            <w:r>
              <w:t>daudzkur</w:t>
            </w:r>
            <w:proofErr w:type="spellEnd"/>
            <w:r>
              <w:t xml:space="preserve"> ir ierobežota tādu teritoriju veidošanās, kas būtu raksturojama angļu valodā kā "</w:t>
            </w:r>
            <w:proofErr w:type="spellStart"/>
            <w:r>
              <w:t>slums</w:t>
            </w:r>
            <w:proofErr w:type="spellEnd"/>
            <w:r>
              <w:t xml:space="preserve">", bet, ja tiks pieļauta nekontrolēta mazēku-palīgēku būvniecība, tādas zonas var veidoties un nebūs ne likumiska pamata, ne tiesisku vai institucionālu iespēju tās "izskaust", pārnesot regulēšanas nepieciešamību uz citām valsts atbildības jomām (policija, sociālie dienesti, </w:t>
            </w:r>
            <w:proofErr w:type="spellStart"/>
            <w:r>
              <w:t>utt</w:t>
            </w:r>
            <w:proofErr w:type="spellEnd"/>
            <w:r>
              <w:t>).- pieļaujot nereg</w:t>
            </w:r>
            <w:r>
              <w:t>ulētu būvniecību, slogs no būvvaldēm tiek pārlikts uz būvinspektoriem un slogs no "</w:t>
            </w:r>
            <w:proofErr w:type="spellStart"/>
            <w:r>
              <w:t>paīra</w:t>
            </w:r>
            <w:proofErr w:type="spellEnd"/>
            <w:r>
              <w:t xml:space="preserve">" formāta tiek pārlikts uz fizisko formātu, kas ir pretēji digitalizācijas un citiem procesiem, kas tiecas iet prom no nepieciešamības pēc fiziskas </w:t>
            </w:r>
            <w:proofErr w:type="spellStart"/>
            <w:r>
              <w:t>intevences</w:t>
            </w:r>
            <w:proofErr w:type="spellEnd"/>
            <w:r>
              <w:t xml:space="preserve"> klātienē.- Jaunu dzīvojamo rajonu veidošanās, kas ir milzu infrastruktūras un attiecīgi </w:t>
            </w:r>
            <w:r>
              <w:lastRenderedPageBreak/>
              <w:t>finansiāls slogs pašvaldībām. Jau pašlaik ir jauni dzīvojamie rajoni bez vajadzīgās infrastruktūras (ceļi, skolas, veikali, utt.), kur cilvēkos vairojas neapmierinātība ar šo, d</w:t>
            </w:r>
            <w:r>
              <w:t xml:space="preserve">audzos gadījumos pašu radīto situāciju. Ja valstiski notiek jaunu privātmāju būvniecības atvieglošana, paredzams, ka arī jaunu apdzīvotu vietu veidošanās var pieaugt un ir jautājums, vai tas ir salāgots ar </w:t>
            </w:r>
            <w:proofErr w:type="spellStart"/>
            <w:r>
              <w:t>valts</w:t>
            </w:r>
            <w:proofErr w:type="spellEnd"/>
            <w:r>
              <w:t xml:space="preserve"> ilgtermiņa mērķiem, mērķiem esošo pilsētu attīstībai, pakalpojumu nodrošināšanai un </w:t>
            </w:r>
            <w:proofErr w:type="spellStart"/>
            <w:r>
              <w:t>tml</w:t>
            </w:r>
            <w:proofErr w:type="spellEnd"/>
            <w:r>
              <w:t xml:space="preserve"> . Šie procesi ir saistīti un tos nevajadzētu skatīt atrauti, jo, kā minēts šī teksta sākumā, privātmāju būvniecība ir ļoti liela būvniecības nozares daļa.- Liekot cilvēkiem domāt, ka procesi tiek atviegloti, ja t</w:t>
            </w:r>
            <w:r>
              <w:t xml:space="preserve">as tā nav domāts (ja ir domāts, ka visai būvniecības dokumentācijai ir jāietver visas nepieciešamās daļas, lai izpildītu normatīvās prasības, tas vienkārši sauksies nevis "būvprojekts", bet "paziņojums"), tas var tikai vairot </w:t>
            </w:r>
            <w:r>
              <w:lastRenderedPageBreak/>
              <w:t xml:space="preserve">sabiedrības neapmierinātību ar sistēmu (ar būvvaldēm -&gt; pašvaldībām -&gt; valsti), gadījumā, kad viņi saskarsies, ka "nav nemaz </w:t>
            </w:r>
            <w:proofErr w:type="spellStart"/>
            <w:r>
              <w:t>tk</w:t>
            </w:r>
            <w:proofErr w:type="spellEnd"/>
            <w:r>
              <w:t xml:space="preserve"> vienkārši, kā solīts", kas atkal vairo augsni polarizācijai.- IR atbalstāmi mērķēti un izsvērti grozījumi, kas atvieglo esošu ēku pielāgošanu, atjaunošanu un </w:t>
            </w:r>
            <w:r>
              <w:t xml:space="preserve">siltināšanu, bet tam jānāk kopā ar sabiedrības izglītošanu, jo </w:t>
            </w:r>
            <w:proofErr w:type="spellStart"/>
            <w:r>
              <w:t>nekvalitatība</w:t>
            </w:r>
            <w:proofErr w:type="spellEnd"/>
            <w:r>
              <w:t xml:space="preserve"> (bezatbildīga vai neizglītota) rekonstrukcija (piemēram, siltināšana) ēkai var nodarīt ilgtermiņā </w:t>
            </w:r>
            <w:proofErr w:type="spellStart"/>
            <w:r>
              <w:t>varāk</w:t>
            </w:r>
            <w:proofErr w:type="spellEnd"/>
            <w:r>
              <w:t xml:space="preserve"> ļauna, nekā laba un tas var novest nevis pie īpašuma vērtības celšanas, bet tieši otrādi - zuduma (arī veselības zuduma nekvalitatīvas vides rezultātā un tml.) Ja valstī ir </w:t>
            </w:r>
            <w:proofErr w:type="spellStart"/>
            <w:r>
              <w:t>mērkis</w:t>
            </w:r>
            <w:proofErr w:type="spellEnd"/>
            <w:r>
              <w:t xml:space="preserve"> vairot iedzīvotāju labklājību, ir nepieciešams palīdzēt cilvēkiem pieņemt pareizus lēmumus, nevis turpināt ļaut viņiem kļūdīties un cīnīties ar sekām p</w:t>
            </w:r>
            <w:r>
              <w:t xml:space="preserve">ašiem. Izeja no situācijas:- Kredītsabiedrībām ar saistošiem noteikumiem jānosaka pienākums </w:t>
            </w:r>
            <w:r>
              <w:lastRenderedPageBreak/>
              <w:t xml:space="preserve">pārbaudīt individuālo dzīvojamo ēku projekta sastāvu (vismaz atbilstību sadaļu sarakstam), lai nodrošinātos, kad vismaz situācijās, kad cilvēki būvē par svešu (aizņemtu) naudu, viņi neiekultos nepatikšanās </w:t>
            </w:r>
            <w:proofErr w:type="spellStart"/>
            <w:r>
              <w:t>nekvaitatīvu</w:t>
            </w:r>
            <w:proofErr w:type="spellEnd"/>
            <w:r>
              <w:t xml:space="preserve"> projektu un tad attiecīgi nekvalitatīvu vai nepabeigtu būvdarbu rezultātā. Bankas ļoti labi zina, kas ir pilns projekts un pilna tāme un noteikti var komentēt to situāciju, ar ko saskaras ikdienas kred</w:t>
            </w:r>
            <w:r>
              <w:t xml:space="preserve">ītu pieteikumu sakarā- Jāveic visplašākais īstermiņa (projekta stadijā/ pagaidu </w:t>
            </w:r>
            <w:proofErr w:type="spellStart"/>
            <w:r>
              <w:t>energosertifikāts</w:t>
            </w:r>
            <w:proofErr w:type="spellEnd"/>
            <w:r>
              <w:t xml:space="preserve">) un ilgtermiņa (atkārtota </w:t>
            </w:r>
            <w:proofErr w:type="spellStart"/>
            <w:r>
              <w:t>energosertificēšana</w:t>
            </w:r>
            <w:proofErr w:type="spellEnd"/>
            <w:r>
              <w:t xml:space="preserve">) energoefektivitātes monitoringa kārtības un atbilstības audits. Ļoti daudzi </w:t>
            </w:r>
            <w:proofErr w:type="spellStart"/>
            <w:r>
              <w:t>energosertifikāti</w:t>
            </w:r>
            <w:proofErr w:type="spellEnd"/>
            <w:r>
              <w:t xml:space="preserve"> </w:t>
            </w:r>
            <w:proofErr w:type="spellStart"/>
            <w:r>
              <w:t>prjekta</w:t>
            </w:r>
            <w:proofErr w:type="spellEnd"/>
            <w:r>
              <w:t xml:space="preserve"> stadijā tiek izsniegti uz </w:t>
            </w:r>
            <w:proofErr w:type="spellStart"/>
            <w:r>
              <w:t>vēlmu</w:t>
            </w:r>
            <w:proofErr w:type="spellEnd"/>
            <w:r>
              <w:t xml:space="preserve"> jeb normatīvajiem lielumiem, nevis projekta faktiskajiem risinājumiem.  Pagaidām tāds pats sertifikāts der pie nodošanas ekspluatācijā un ēku patiesā </w:t>
            </w:r>
            <w:proofErr w:type="spellStart"/>
            <w:r>
              <w:lastRenderedPageBreak/>
              <w:t>energoefketivitāte</w:t>
            </w:r>
            <w:proofErr w:type="spellEnd"/>
            <w:r>
              <w:t xml:space="preserve"> (un atbilstība likumdošanas prasībām) praksē netiek pārbaudīta n</w:t>
            </w:r>
            <w:r>
              <w:t xml:space="preserve">evienā stadijā, jo iedzīvotāji ir ļoti vāji informēti par savām tiesībām un likumā noteikto prasību veikt ēku </w:t>
            </w:r>
            <w:proofErr w:type="spellStart"/>
            <w:r>
              <w:t>energosertifikāciju</w:t>
            </w:r>
            <w:proofErr w:type="spellEnd"/>
            <w:r>
              <w:t xml:space="preserve"> pie pārdošanas. Varbūt ir pamats iekļaut </w:t>
            </w:r>
            <w:proofErr w:type="spellStart"/>
            <w:r>
              <w:t>energosertifikācijas</w:t>
            </w:r>
            <w:proofErr w:type="spellEnd"/>
            <w:r>
              <w:t xml:space="preserve"> prasību pie zemesgrāmatā iesniedzamo dokumentu kopuma prasībām, ja valstiski ir mērķis vairot cilvēku izpratni un atbildību par energoefektivitātes nozīmi un kaut palēnām mazināt CO2 izmešu apjomus.- Nepieciešams paplašināt </w:t>
            </w:r>
            <w:proofErr w:type="spellStart"/>
            <w:r>
              <w:t>piedāvājumutipveida</w:t>
            </w:r>
            <w:proofErr w:type="spellEnd"/>
            <w:r>
              <w:t xml:space="preserve"> projektiem ar pilnu projekta sastāvu (pie nosacījuma, ka uz kādu laiku tiek </w:t>
            </w:r>
            <w:r>
              <w:t xml:space="preserve">apturēta būvniecības jomu regulējošo normatīvo aktu grozīšana, lai projekti varētu būt spēkā un aktuāli kādus 5-6 gadus). Šāda pieeja ir realizēta EM paspārnē gan daudzdzīvokļu māju segmentā, gan "grupu mājām", bet nav pieejama privātmājām, kas </w:t>
            </w:r>
            <w:r>
              <w:lastRenderedPageBreak/>
              <w:t xml:space="preserve">patiesībā veido ļoti lielu </w:t>
            </w:r>
            <w:proofErr w:type="spellStart"/>
            <w:r>
              <w:t>būvnicības</w:t>
            </w:r>
            <w:proofErr w:type="spellEnd"/>
            <w:r>
              <w:t xml:space="preserve"> nozares daļu un individuāli privātpersonām ir ļoti nozīmīga investīcija (nereti lielākā investīcija mūžā), kas bieži rezultējas ar vilšanos.- Lielākais slogs iedzīvotājiem ir nevis būvprojektu skaņošanas ilgums vai būvprojektu iz</w:t>
            </w:r>
            <w:r>
              <w:t xml:space="preserve">strādes izmaksas, bet tieši būvniecības izmaksas, īpaši, ja tās noteiktas nepareizi. Tāpēc uzskatām, ka nevis jāgroza regulējums un jāatvieglo slikti regulēta būvniecība, bet jāturpina attīstīt tādi mehānismi, kā </w:t>
            </w:r>
            <w:proofErr w:type="spellStart"/>
            <w:r>
              <w:t>Altum</w:t>
            </w:r>
            <w:proofErr w:type="spellEnd"/>
            <w:r>
              <w:t xml:space="preserve"> programmas, lai veicinātu kvalitatīvu mājokļu būvniecību, īpaši reģionos (vēlams ilgtspējīgā veidā 3-5 stāvu daudzdzīvokļu apbūvē vai rindu māju formā) , un jāmeklē risinājumi jauno ģimeņu (īpaši ģimeņu ar vairākiem bērniem) mājokļu iegādes iespēju uzlabošanai, lai mazinātu valstisko nevienlī</w:t>
            </w:r>
            <w:r>
              <w:t xml:space="preserve">dzību tieši finansiālo iespēju </w:t>
            </w:r>
            <w:proofErr w:type="spellStart"/>
            <w:r>
              <w:t>ziņā.Lai</w:t>
            </w:r>
            <w:proofErr w:type="spellEnd"/>
            <w:r>
              <w:t xml:space="preserve"> gan uzskatām, ka būtu nepieciešama nopietnāka </w:t>
            </w:r>
            <w:r>
              <w:lastRenderedPageBreak/>
              <w:t>valsts būvniecības kursa pārskatīšana privātmāju un nelielu ēku būvniecības jomā ar nopietnu dažādu speciālistu iesaisti (</w:t>
            </w:r>
            <w:proofErr w:type="spellStart"/>
            <w:r>
              <w:t>projektētāji,bankas</w:t>
            </w:r>
            <w:proofErr w:type="spellEnd"/>
            <w:r>
              <w:t xml:space="preserve">, </w:t>
            </w:r>
            <w:proofErr w:type="spellStart"/>
            <w:r>
              <w:t>energoauditori</w:t>
            </w:r>
            <w:proofErr w:type="spellEnd"/>
            <w:r>
              <w:t>, būvnieki (nevis sezonas māju ražotāji), jo redzams, ka atsevišķu nozaru industrijas spiediens apvienojumā ar cilvēku labticību un vēlmi ietaupīt šodien, nedomājot par rītdienas sekām, noved pie ļoti nepārdomātiem lēmumiem, kas ne tikai palēnām degradēs lielu daļu dzī</w:t>
            </w:r>
            <w:r>
              <w:t xml:space="preserve">vojamā fonda un Latvijas ainavas, bet arī attiecīgi ietekmēs neaizsargātākās sabiedrības daļas dzīves kvalitāti un </w:t>
            </w:r>
            <w:proofErr w:type="spellStart"/>
            <w:r>
              <w:t>finasiālās</w:t>
            </w:r>
            <w:proofErr w:type="spellEnd"/>
            <w:r>
              <w:t xml:space="preserve"> iespējas  samērā drīzā </w:t>
            </w:r>
            <w:proofErr w:type="spellStart"/>
            <w:r>
              <w:t>nākotnē.Pārdefinējot</w:t>
            </w:r>
            <w:proofErr w:type="spellEnd"/>
            <w:r>
              <w:t xml:space="preserve"> šo visu birokrātiski saprotamā formātā un to attiecinot tieši uz šajos grozījumos skartajiem punktiem, lūk, daži būtiskākie priekšlikumi:-&gt; DZĒST piedāvāto priekšlikumu (nepieļaujot nekontrolētu mazēku un palīgēku būvniecību, kur vien ienāk prātā) (un attiecīgo punktu </w:t>
            </w:r>
            <w:r>
              <w:lastRenderedPageBreak/>
              <w:t xml:space="preserve">izmaiņu neveikšana) - "papildināt noteikumus ar 7.3.3.4.apakšpunktu šādā </w:t>
            </w:r>
            <w:r>
              <w:t>redakcijā: "7.3.3.4. mazēkas (transporta pieturu nojumes, citas iepriekš, neklasificētas ēkas, tai skaitā palīgēkas) jaunai būvniecībai, novietošanai vai nojaukšanai, izņemot būvniecību valsts aizsargājamo kultūras pieminekļu teritorijās;";"-&gt; izteikt 7.1 4.apakšpunktu šādā redakcijā (</w:t>
            </w:r>
            <w:proofErr w:type="spellStart"/>
            <w:r>
              <w:t>nepiļaujot</w:t>
            </w:r>
            <w:proofErr w:type="spellEnd"/>
            <w:r>
              <w:t xml:space="preserve"> to, ka dzīvojamām mājām, uz ko ir attiecināmas energoefektivitātes prasības, tiek radīts iespaids kā par jomu, kur nav nepieciešama dokumentācija):"7.1 4. pirmās grupas dzīvojamās ēkas, izņemot ēkas, uz ko attiecinā</w:t>
            </w:r>
            <w:r>
              <w:t xml:space="preserve">mas energoefektivitātes likuma prasības, palīgēkas vai lauksaimniecības nedzīvojamās ēkas un mazēkas jauna būvniecība vai novietošana, izņemot šo noteikumu 7. punktā minēto gadījumu un būvniecību valsts aizsargājamo kultūras pieminekļu </w:t>
            </w:r>
            <w:r>
              <w:lastRenderedPageBreak/>
              <w:t xml:space="preserve">teritorijās;";-&gt; izteikt 107.1. punktu šādā redakcijā (samazinot nelegālās būvniecības "pieļaujamo" mērogu līdz tam, kas noteikti nepārsniedz VID deklarēto slieksni EDLUS sistēmai jeb 170 000 </w:t>
            </w:r>
            <w:proofErr w:type="spellStart"/>
            <w:r>
              <w:t>eur</w:t>
            </w:r>
            <w:proofErr w:type="spellEnd"/>
            <w:r>
              <w:t xml:space="preserve"> kopējo </w:t>
            </w:r>
            <w:proofErr w:type="spellStart"/>
            <w:r>
              <w:t>būvizmaksu</w:t>
            </w:r>
            <w:proofErr w:type="spellEnd"/>
            <w:r>
              <w:t>):"107.1. būvētājs savām vajadzībām būvē, novieto, pārbūvē, atj</w:t>
            </w:r>
            <w:r>
              <w:t xml:space="preserve">auno, konservē vai nojauc pirmās grupas ēku vai tās daļu, vai otrās grupas viena dzīvokļa dzīvojamo ēku vai tās daļu, kas nav augstākas par diviem stāviem un kuru apbūves laukums nav lielāks par 60m² un </w:t>
            </w:r>
            <w:proofErr w:type="spellStart"/>
            <w:r>
              <w:t>būvtilpums</w:t>
            </w:r>
            <w:proofErr w:type="spellEnd"/>
            <w:r>
              <w:t xml:space="preserve"> - par 300 m³  un palīgēkas, kā arī lauksaimniecības nedzīvojamās ēkas, kas nav augstāks par diviem stāviem un kuru apbūves laukums nav lielāks par 400 m2 un </w:t>
            </w:r>
            <w:proofErr w:type="spellStart"/>
            <w:r>
              <w:t>būvtilpums</w:t>
            </w:r>
            <w:proofErr w:type="spellEnd"/>
            <w:r>
              <w:t xml:space="preserve"> – par 2000 m3.Paldies par pacietību! Šis iebildumu/priekšlikumu kopums ir GB STUDIO arhitektu Ruta </w:t>
            </w:r>
            <w:proofErr w:type="spellStart"/>
            <w:r>
              <w:t>Rinkules</w:t>
            </w:r>
            <w:proofErr w:type="spellEnd"/>
            <w:r>
              <w:t xml:space="preserve"> un Gata </w:t>
            </w:r>
            <w:proofErr w:type="spellStart"/>
            <w:r>
              <w:t>Gavara</w:t>
            </w:r>
            <w:proofErr w:type="spellEnd"/>
            <w:r>
              <w:t xml:space="preserve"> viedokļ</w:t>
            </w:r>
            <w:r>
              <w:t xml:space="preserve">u, iebildumu un priekšlikumu </w:t>
            </w:r>
            <w:r>
              <w:lastRenderedPageBreak/>
              <w:t>apkopojums.*https://data.stat.gov.lv/pxweb/lv/OSP_PUB/START__NOZ__BU__BUE/BUE011/table/tableViewLayout1/** tas izrietēs no grozījumiem, ja tiek likts noprast, ka tagad daudz kam projekti ir vienkāršojami un tam klāt netiek definēts, ka visiem projektiem (nevis skaņošanai, bet realizācijai) jābūt izstrādātiem pilnā detalizācijā jeb "darba projekta stadijā" vai kā citādi definēts to nepieciešamais sastāvs.</w:t>
            </w:r>
          </w:p>
        </w:tc>
        <w:tc>
          <w:tcPr>
            <w:tcW w:w="1650" w:type="dxa"/>
            <w:shd w:val="clear" w:color="auto" w:fill="FFFFFF"/>
            <w:noWrap/>
            <w:tcMar>
              <w:top w:w="75" w:type="dxa"/>
              <w:left w:w="75" w:type="dxa"/>
              <w:bottom w:w="75" w:type="dxa"/>
              <w:right w:w="75" w:type="dxa"/>
            </w:tcMar>
            <w:vAlign w:val="center"/>
          </w:tcPr>
          <w:p w14:paraId="4619A97E" w14:textId="7FBAED70" w:rsidR="008C314B" w:rsidRDefault="0020209F">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77A6395" w14:textId="328D0309" w:rsidR="008C314B" w:rsidRDefault="008E6AF7">
            <w:pPr>
              <w:jc w:val="left"/>
            </w:pPr>
            <w:r>
              <w:t>Noteikumu projekts izs</w:t>
            </w:r>
            <w:r w:rsidR="00105EA1">
              <w:t xml:space="preserve">trādāts, lai izpildītu </w:t>
            </w:r>
            <w:r w:rsidR="00105EA1" w:rsidRPr="00105EA1">
              <w:t>informatīva</w:t>
            </w:r>
            <w:r w:rsidR="00105EA1">
              <w:t>jā</w:t>
            </w:r>
            <w:r w:rsidR="00105EA1" w:rsidRPr="00105EA1">
              <w:t xml:space="preserve"> ziņojum</w:t>
            </w:r>
            <w:r w:rsidR="00105EA1">
              <w:t>ā</w:t>
            </w:r>
            <w:r w:rsidR="00105EA1" w:rsidRPr="00105EA1">
              <w:t xml:space="preserve"> “Par prioritārajiem pasākumiem birokrātijas mazināšanai 2025. gadā”</w:t>
            </w:r>
            <w:r w:rsidR="00105EA1">
              <w:t xml:space="preserve"> ietvertos prioritā</w:t>
            </w:r>
            <w:r w:rsidR="00DB74B8">
              <w:t xml:space="preserve">ros pasākumus, par ko iepriekš ir vienojusies </w:t>
            </w:r>
            <w:r w:rsidR="002F01EC">
              <w:t xml:space="preserve">Valsts kancelejas izveidotajā </w:t>
            </w:r>
            <w:r w:rsidR="00DB74B8">
              <w:t>darba grup</w:t>
            </w:r>
            <w:r w:rsidR="002F01EC">
              <w:t>ā</w:t>
            </w:r>
            <w:r w:rsidR="00DB74B8">
              <w:t xml:space="preserve">. </w:t>
            </w:r>
          </w:p>
          <w:p w14:paraId="23350D5F" w14:textId="4367EE1F" w:rsidR="008F7985" w:rsidRDefault="00DB74B8">
            <w:pPr>
              <w:jc w:val="left"/>
            </w:pPr>
            <w:r>
              <w:t xml:space="preserve">Vēršam uzmanību, ka </w:t>
            </w:r>
            <w:r w:rsidR="00D12D01" w:rsidRPr="00D12D01">
              <w:t xml:space="preserve">Ministru kabineta 2014.gada 2.septembra </w:t>
            </w:r>
            <w:r w:rsidR="00D12D01" w:rsidRPr="00D12D01">
              <w:lastRenderedPageBreak/>
              <w:t xml:space="preserve">noteikumos Nr. 529 </w:t>
            </w:r>
            <w:r w:rsidR="00D12D01">
              <w:t>“</w:t>
            </w:r>
            <w:r w:rsidR="00D12D01" w:rsidRPr="00D12D01">
              <w:t>Ēku būvnoteikumi</w:t>
            </w:r>
            <w:r w:rsidR="00D12D01">
              <w:t>”</w:t>
            </w:r>
            <w:r w:rsidR="005938C2">
              <w:t xml:space="preserve"> nosaka </w:t>
            </w:r>
            <w:r w:rsidR="005938C2" w:rsidRPr="005938C2">
              <w:t>būvniecības procesa kārtību</w:t>
            </w:r>
            <w:r w:rsidR="005938C2">
              <w:t xml:space="preserve"> un tam nepieciešamos dokumentus</w:t>
            </w:r>
            <w:r w:rsidR="007C061F">
              <w:t>, lai varētu uzsākt būvniecību</w:t>
            </w:r>
            <w:r w:rsidR="008F7985">
              <w:t xml:space="preserve">, bet nedetalizē </w:t>
            </w:r>
            <w:r w:rsidR="008C5ECF">
              <w:t xml:space="preserve">būvprojekta apjomu kāds ir nepieciešams, lai konkrēto </w:t>
            </w:r>
            <w:r w:rsidR="00CD221C">
              <w:t xml:space="preserve">būvniecības </w:t>
            </w:r>
            <w:r w:rsidR="008C5ECF">
              <w:t>ieceri īstenotu</w:t>
            </w:r>
            <w:r w:rsidR="007C061F">
              <w:t xml:space="preserve">. </w:t>
            </w:r>
          </w:p>
          <w:p w14:paraId="620E2495" w14:textId="64539351" w:rsidR="00DB74B8" w:rsidRDefault="008C5ECF" w:rsidP="008C5ECF">
            <w:pPr>
              <w:jc w:val="left"/>
            </w:pPr>
            <w:r>
              <w:t>Būvniecības likuma 16.panta otrā daļa paredz, ka b</w:t>
            </w:r>
            <w:r w:rsidR="00347DDA" w:rsidRPr="00347DDA">
              <w:t>ūvprojekta izstrādātājs izstrādā būvprojektu, ja viņa rīcībā ir pietiekama informācija un ir veikti visi normatīvajos aktos paredzētie izpētes darbi. Būvprojektu izstrādā tādā apjomā, kāds noteikts speciālajos būvnoteikumos un ir nepieciešams būvniecības ieceres realizācijai. Būvprojekta izstrādātājs un būvniecības ierosinātājs vienojas par detalizācijas līmeni, kādā izstrādā būvprojektu.</w:t>
            </w:r>
            <w:r w:rsidR="00CD221C">
              <w:t xml:space="preserve"> Tādējādi būvprojekta izstrādātājs ir kvalificēts speciālists, kurš </w:t>
            </w:r>
            <w:r w:rsidR="00C364B0">
              <w:t>nodrošina, ka būvprojekts tiek izstrādāts tādā apjomā un detalizācijā, kas nepieciešam</w:t>
            </w:r>
            <w:r w:rsidR="00B0575E">
              <w:t>s</w:t>
            </w:r>
            <w:r w:rsidR="00C364B0">
              <w:t xml:space="preserve">, lai objektu varētu </w:t>
            </w:r>
            <w:r w:rsidR="00C364B0">
              <w:lastRenderedPageBreak/>
              <w:t xml:space="preserve">uzbūvēt nevis tikai saskaņot plānoto būvniecības ieceri ar </w:t>
            </w:r>
            <w:r w:rsidR="00FB436A">
              <w:t>pašvaldības būvvaldi.</w:t>
            </w:r>
            <w:r w:rsidR="008B3927">
              <w:t xml:space="preserve"> Gadījumos, kad būvprojekta izstrādātājs izpilda tikai speciālo būvnoteikumu prasības nevis </w:t>
            </w:r>
            <w:r w:rsidR="00B72003">
              <w:t xml:space="preserve">pēc būtības </w:t>
            </w:r>
            <w:r w:rsidR="006900DB">
              <w:t>no</w:t>
            </w:r>
            <w:r w:rsidR="00B72003">
              <w:t>drošina kvalitatīva būvprojekta izstrādi, būtu vērtējama šādu speciālistu kvalifikāciju un ko</w:t>
            </w:r>
            <w:r w:rsidR="00FB1D30">
              <w:t xml:space="preserve">mpetence. </w:t>
            </w:r>
          </w:p>
          <w:p w14:paraId="78577C2B" w14:textId="50990275" w:rsidR="00CF49F2" w:rsidRDefault="00585C58" w:rsidP="00ED51CF">
            <w:pPr>
              <w:jc w:val="left"/>
            </w:pPr>
            <w:r>
              <w:t xml:space="preserve">Papildus jānorāda, ka Ministru kabineta 2014.gada 19.augusta noteikumu Nr.500 “Vispārīgie būvnoteikumi” </w:t>
            </w:r>
            <w:r w:rsidR="00ED51CF">
              <w:t>18.</w:t>
            </w:r>
            <w:r w:rsidR="00ED51CF" w:rsidRPr="00ED51CF">
              <w:rPr>
                <w:vertAlign w:val="superscript"/>
              </w:rPr>
              <w:t>1</w:t>
            </w:r>
            <w:r w:rsidR="00CF49F2">
              <w:t>, 18.</w:t>
            </w:r>
            <w:r w:rsidR="00CF49F2" w:rsidRPr="0072629D">
              <w:rPr>
                <w:vertAlign w:val="superscript"/>
              </w:rPr>
              <w:t>2</w:t>
            </w:r>
            <w:r w:rsidR="00CF49F2">
              <w:t>, 18.</w:t>
            </w:r>
            <w:r w:rsidR="00CF49F2" w:rsidRPr="0072629D">
              <w:rPr>
                <w:vertAlign w:val="superscript"/>
              </w:rPr>
              <w:t>3</w:t>
            </w:r>
            <w:r w:rsidR="0072629D">
              <w:t> </w:t>
            </w:r>
            <w:r w:rsidR="00CF49F2">
              <w:t>punkts nosaka gan par</w:t>
            </w:r>
            <w:r w:rsidR="00EB6BF4">
              <w:t xml:space="preserve"> projektēšanas sagatavošanas darbiem, projektēšanas uzdevumu</w:t>
            </w:r>
            <w:r w:rsidR="00327DE9">
              <w:t>, tai skaitā, l</w:t>
            </w:r>
            <w:r w:rsidR="00327DE9" w:rsidRPr="00327DE9">
              <w:t>īguma par projektēšanu neatņemama sastāvdaļa ir projektēšanas uzdevums</w:t>
            </w:r>
            <w:r w:rsidR="00714857">
              <w:t xml:space="preserve">, tādējādi būvprojekta izstrādātājs vienojas ar būvniecības ierosinātāju </w:t>
            </w:r>
            <w:r w:rsidR="006D09AF">
              <w:t xml:space="preserve">par nepieciešamās izpētēm, </w:t>
            </w:r>
            <w:r w:rsidR="006D4B15">
              <w:t xml:space="preserve">par </w:t>
            </w:r>
            <w:r w:rsidR="006D4B15" w:rsidRPr="006D4B15">
              <w:t xml:space="preserve">prasības būvei, tās inženiertehniskajam un citam aprīkojumam, apdarei un energoefektivitātei. Projektēšanas uzdevumā var ietvert arī citu </w:t>
            </w:r>
            <w:r w:rsidR="006D4B15" w:rsidRPr="006D4B15">
              <w:lastRenderedPageBreak/>
              <w:t>informāciju, kas attiecas uz būvniecības ieceri (piemēram, būvprojekta stadijas</w:t>
            </w:r>
            <w:r w:rsidR="00184AE4">
              <w:t>).</w:t>
            </w:r>
          </w:p>
          <w:p w14:paraId="7BAB7DDD" w14:textId="3AA87682" w:rsidR="000E562A" w:rsidRDefault="00045C6A" w:rsidP="008C5ECF">
            <w:pPr>
              <w:jc w:val="left"/>
            </w:pPr>
            <w:r>
              <w:t>Noteikumu projekts nemaina būvprojekta izstrādātāja pienākumus, tiesības un atbildību.</w:t>
            </w:r>
          </w:p>
          <w:p w14:paraId="56B8B9E4" w14:textId="77777777" w:rsidR="00045C6A" w:rsidRDefault="00045C6A" w:rsidP="00E023BC">
            <w:pPr>
              <w:jc w:val="left"/>
            </w:pPr>
          </w:p>
          <w:p w14:paraId="5B6F6CA7" w14:textId="117F2B9C" w:rsidR="00EB3659" w:rsidRDefault="006D5007" w:rsidP="00E023BC">
            <w:pPr>
              <w:jc w:val="left"/>
            </w:pPr>
            <w:r>
              <w:t>Tāpat jānorāda, ka j</w:t>
            </w:r>
            <w:r w:rsidR="000E562A">
              <w:t xml:space="preserve">ebkurš </w:t>
            </w:r>
            <w:r w:rsidR="00E023BC">
              <w:t>nekustamā</w:t>
            </w:r>
            <w:r w:rsidR="005D50CE">
              <w:t xml:space="preserve"> īpašuma</w:t>
            </w:r>
            <w:r w:rsidR="000E562A">
              <w:t xml:space="preserve"> īpašn</w:t>
            </w:r>
            <w:r w:rsidR="00BA0441">
              <w:t>ieks pirms plānot kādu būvniecību var vērsties pašvaldības būvvaldē</w:t>
            </w:r>
            <w:r w:rsidR="008B704E">
              <w:t>, kuras kompetencē</w:t>
            </w:r>
            <w:r w:rsidR="00596CCD">
              <w:t xml:space="preserve"> saskaņā ar Būvniecības likuma 12.panta trešo daļu</w:t>
            </w:r>
            <w:r w:rsidR="008B704E">
              <w:t xml:space="preserve"> ir </w:t>
            </w:r>
            <w:r w:rsidR="00EB3659">
              <w:t>snie</w:t>
            </w:r>
            <w:r w:rsidR="008B704E">
              <w:t>gt</w:t>
            </w:r>
            <w:r w:rsidR="00EB3659">
              <w:t xml:space="preserve"> konsultācijas par būvniecības administratīvā procesa kārtību un ziņas par teritorijas izmantošanas un apbūves nosacījumiem</w:t>
            </w:r>
            <w:r w:rsidR="00E023BC">
              <w:t xml:space="preserve">, kā arī </w:t>
            </w:r>
            <w:r w:rsidR="00EB3659">
              <w:t>informē</w:t>
            </w:r>
            <w:r w:rsidR="005D50CE">
              <w:t>t</w:t>
            </w:r>
            <w:r w:rsidR="00EB3659">
              <w:t xml:space="preserve"> par būvniecības procesa tiesisko pamatojumu un sniedz ziņas par pašvaldības administratīvajā teritorijā esošajām vai paredzētajām būvēm.</w:t>
            </w:r>
          </w:p>
          <w:p w14:paraId="38C4D41D" w14:textId="77777777" w:rsidR="00987F34" w:rsidRDefault="00987F34" w:rsidP="00E023BC">
            <w:pPr>
              <w:jc w:val="left"/>
            </w:pPr>
          </w:p>
          <w:p w14:paraId="6188301F" w14:textId="5D8B82B8" w:rsidR="00987F34" w:rsidRDefault="003F6D53" w:rsidP="002D6F1A">
            <w:pPr>
              <w:jc w:val="left"/>
            </w:pPr>
            <w:r>
              <w:t>Jau šobrīd</w:t>
            </w:r>
            <w:r w:rsidR="00B018D4">
              <w:t xml:space="preserve">, piemēram, </w:t>
            </w:r>
            <w:r>
              <w:t>siltumnīcas, nojumes</w:t>
            </w:r>
            <w:r w:rsidR="00A23076">
              <w:t>,</w:t>
            </w:r>
            <w:r w:rsidR="00F36D6D">
              <w:t xml:space="preserve"> </w:t>
            </w:r>
            <w:r>
              <w:t>bez skaņošanas</w:t>
            </w:r>
            <w:r w:rsidR="00F36D6D">
              <w:t xml:space="preserve"> ar pašvaldības būvvaldi</w:t>
            </w:r>
            <w:r>
              <w:t xml:space="preserve"> jau gadiem atrodas vienā un tajā pašā vietā</w:t>
            </w:r>
            <w:r w:rsidR="00F36D6D">
              <w:t>,</w:t>
            </w:r>
            <w:r w:rsidR="006C39FA">
              <w:t xml:space="preserve"> </w:t>
            </w:r>
            <w:r w:rsidR="006C39FA">
              <w:lastRenderedPageBreak/>
              <w:t xml:space="preserve">par kurām pašvaldības būvvalde nav pieņēmusi </w:t>
            </w:r>
            <w:r w:rsidR="00EF3470">
              <w:t xml:space="preserve">lēmumu </w:t>
            </w:r>
            <w:r w:rsidR="00041CA5">
              <w:t xml:space="preserve">ne </w:t>
            </w:r>
            <w:r w:rsidR="00041CA5" w:rsidRPr="00041CA5">
              <w:t>par iepriekšējā stāvokļa atjaunošanu</w:t>
            </w:r>
            <w:r w:rsidR="00041CA5">
              <w:t xml:space="preserve">, ne </w:t>
            </w:r>
            <w:r w:rsidR="002D6F1A" w:rsidRPr="002D6F1A">
              <w:t>par atļauju veikt būvniecību pēc būvniecību regulējošu normatīvo aktu prasību izpildes</w:t>
            </w:r>
            <w:r w:rsidR="002D6F1A">
              <w:t xml:space="preserve">. </w:t>
            </w:r>
            <w:r w:rsidR="00BF5291">
              <w:t>T</w:t>
            </w:r>
            <w:r w:rsidR="00F36D6D">
              <w:t>ādējādi, a</w:t>
            </w:r>
            <w:r w:rsidR="00987F34">
              <w:t xml:space="preserve">tvieglojot prasības mazēkām, </w:t>
            </w:r>
            <w:r w:rsidR="004B68A4">
              <w:t>samazinā</w:t>
            </w:r>
            <w:r w:rsidR="008F3D91">
              <w:t>sie</w:t>
            </w:r>
            <w:r w:rsidR="004B68A4">
              <w:t xml:space="preserve">s </w:t>
            </w:r>
            <w:r w:rsidR="00BF5291">
              <w:t>to</w:t>
            </w:r>
            <w:r w:rsidR="004B68A4">
              <w:t xml:space="preserve"> objektu</w:t>
            </w:r>
            <w:r w:rsidR="00BF5291">
              <w:t xml:space="preserve"> skaits, kuriem nepieciešams </w:t>
            </w:r>
            <w:r w:rsidR="00983128">
              <w:t>sa</w:t>
            </w:r>
            <w:r w:rsidR="00BF5291">
              <w:t>skaņojums</w:t>
            </w:r>
            <w:r w:rsidR="00AB303F">
              <w:t>,</w:t>
            </w:r>
            <w:r w:rsidR="002D6F1A">
              <w:t xml:space="preserve"> līdz ar to </w:t>
            </w:r>
            <w:r w:rsidR="00E94BB8">
              <w:t xml:space="preserve">arī </w:t>
            </w:r>
            <w:r w:rsidR="002D6F1A">
              <w:t xml:space="preserve">pašvaldības būvvaldes </w:t>
            </w:r>
            <w:r w:rsidR="003E72E0">
              <w:t>lēmum</w:t>
            </w:r>
            <w:r w:rsidR="008F3D91">
              <w:t>u skaits</w:t>
            </w:r>
            <w:r w:rsidR="0079590A">
              <w:t>.</w:t>
            </w:r>
            <w:r w:rsidR="003E72E0">
              <w:t xml:space="preserve"> </w:t>
            </w:r>
            <w:r w:rsidR="001074F7">
              <w:t>T</w:t>
            </w:r>
            <w:r w:rsidR="00E94BB8">
              <w:t>omēr t</w:t>
            </w:r>
            <w:r w:rsidR="001074F7">
              <w:t>āpat kā šobrīd</w:t>
            </w:r>
            <w:r w:rsidR="00534D90">
              <w:t>,</w:t>
            </w:r>
            <w:r w:rsidR="001074F7">
              <w:t xml:space="preserve"> arī turpmāk pašvaldības būvvaldes kompetencē būs </w:t>
            </w:r>
            <w:r w:rsidR="00DD6157" w:rsidRPr="00DD6157">
              <w:t>būvniecības procesa tiesiskuma nodrošināšan</w:t>
            </w:r>
            <w:r w:rsidR="00AB303F">
              <w:t>a</w:t>
            </w:r>
            <w:r w:rsidR="00DD6157" w:rsidRPr="00DD6157">
              <w:t>, konstatējot mazēkas neatbilstību normatīvo aktu prasībām</w:t>
            </w:r>
            <w:r w:rsidR="00AB303F">
              <w:t>.</w:t>
            </w:r>
          </w:p>
        </w:tc>
      </w:tr>
    </w:tbl>
    <w:p w14:paraId="7ADCB082" w14:textId="77777777" w:rsidR="008C314B" w:rsidRDefault="008C314B"/>
    <w:tbl>
      <w:tblPr>
        <w:tblStyle w:val="a"/>
        <w:tblW w:w="14567" w:type="dxa"/>
        <w:tblLayout w:type="fixed"/>
        <w:tblLook w:val="0600" w:firstRow="0" w:lastRow="0" w:firstColumn="0" w:lastColumn="0" w:noHBand="1" w:noVBand="1"/>
      </w:tblPr>
      <w:tblGrid>
        <w:gridCol w:w="4855"/>
        <w:gridCol w:w="4856"/>
        <w:gridCol w:w="4856"/>
      </w:tblGrid>
      <w:tr w:rsidR="008C314B" w14:paraId="4E3F7163" w14:textId="77777777">
        <w:tc>
          <w:tcPr>
            <w:tcW w:w="4855" w:type="dxa"/>
            <w:shd w:val="clear" w:color="auto" w:fill="FFFFFF"/>
            <w:noWrap/>
            <w:tcMar>
              <w:top w:w="75" w:type="dxa"/>
              <w:left w:w="75" w:type="dxa"/>
              <w:bottom w:w="75" w:type="dxa"/>
              <w:right w:w="75" w:type="dxa"/>
            </w:tcMar>
            <w:vAlign w:val="center"/>
          </w:tcPr>
          <w:p w14:paraId="7F6C60A3" w14:textId="77777777" w:rsidR="008C314B" w:rsidRDefault="00CF2E21">
            <w:pPr>
              <w:jc w:val="left"/>
            </w:pPr>
            <w:r>
              <w:t>Datums**</w:t>
            </w:r>
          </w:p>
        </w:tc>
        <w:tc>
          <w:tcPr>
            <w:tcW w:w="4856" w:type="dxa"/>
            <w:shd w:val="clear" w:color="auto" w:fill="FFFFFF"/>
            <w:noWrap/>
            <w:tcMar>
              <w:top w:w="75" w:type="dxa"/>
              <w:left w:w="75" w:type="dxa"/>
              <w:bottom w:w="75" w:type="dxa"/>
              <w:right w:w="75" w:type="dxa"/>
            </w:tcMar>
            <w:vAlign w:val="center"/>
          </w:tcPr>
          <w:p w14:paraId="7BC43F54" w14:textId="77777777" w:rsidR="008C314B" w:rsidRDefault="008C314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2BE6BEF" w14:textId="77777777" w:rsidR="008C314B" w:rsidRDefault="008C314B"/>
        </w:tc>
      </w:tr>
      <w:tr w:rsidR="008C314B" w14:paraId="294964CE" w14:textId="77777777">
        <w:tc>
          <w:tcPr>
            <w:tcW w:w="4855" w:type="dxa"/>
            <w:shd w:val="clear" w:color="auto" w:fill="FFFFFF"/>
            <w:noWrap/>
            <w:tcMar>
              <w:top w:w="75" w:type="dxa"/>
              <w:left w:w="75" w:type="dxa"/>
              <w:bottom w:w="75" w:type="dxa"/>
              <w:right w:w="75" w:type="dxa"/>
            </w:tcMar>
            <w:vAlign w:val="center"/>
          </w:tcPr>
          <w:p w14:paraId="72EDBA54" w14:textId="77777777" w:rsidR="008C314B" w:rsidRDefault="008C314B"/>
        </w:tc>
        <w:tc>
          <w:tcPr>
            <w:tcW w:w="4856" w:type="dxa"/>
            <w:shd w:val="clear" w:color="auto" w:fill="FFFFFF"/>
            <w:noWrap/>
            <w:tcMar>
              <w:top w:w="75" w:type="dxa"/>
              <w:left w:w="75" w:type="dxa"/>
              <w:bottom w:w="75" w:type="dxa"/>
              <w:right w:w="75" w:type="dxa"/>
            </w:tcMar>
            <w:vAlign w:val="center"/>
          </w:tcPr>
          <w:p w14:paraId="251220C7" w14:textId="77777777" w:rsidR="008C314B" w:rsidRDefault="00CF2E21">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43803A4D" w14:textId="77777777" w:rsidR="008C314B" w:rsidRDefault="008C314B"/>
        </w:tc>
      </w:tr>
      <w:tr w:rsidR="008C314B" w14:paraId="251AF47E" w14:textId="77777777">
        <w:tc>
          <w:tcPr>
            <w:tcW w:w="4855" w:type="dxa"/>
            <w:shd w:val="clear" w:color="auto" w:fill="FFFFFF"/>
            <w:noWrap/>
            <w:tcMar>
              <w:top w:w="75" w:type="dxa"/>
              <w:left w:w="75" w:type="dxa"/>
              <w:bottom w:w="75" w:type="dxa"/>
              <w:right w:w="75" w:type="dxa"/>
            </w:tcMar>
            <w:vAlign w:val="center"/>
          </w:tcPr>
          <w:p w14:paraId="7FACFB96" w14:textId="77777777" w:rsidR="008C314B" w:rsidRDefault="00CF2E21">
            <w:pPr>
              <w:jc w:val="left"/>
            </w:pPr>
            <w:r>
              <w:t>Atbildīgā persona</w:t>
            </w:r>
          </w:p>
        </w:tc>
        <w:tc>
          <w:tcPr>
            <w:tcW w:w="4856" w:type="dxa"/>
            <w:shd w:val="clear" w:color="auto" w:fill="FFFFFF"/>
            <w:noWrap/>
            <w:tcMar>
              <w:top w:w="75" w:type="dxa"/>
              <w:left w:w="75" w:type="dxa"/>
              <w:bottom w:w="75" w:type="dxa"/>
              <w:right w:w="75" w:type="dxa"/>
            </w:tcMar>
            <w:vAlign w:val="center"/>
          </w:tcPr>
          <w:p w14:paraId="2A3CB802" w14:textId="77777777" w:rsidR="008C314B" w:rsidRDefault="008C314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66BEAC8" w14:textId="77777777" w:rsidR="008C314B" w:rsidRDefault="008C314B"/>
        </w:tc>
      </w:tr>
      <w:tr w:rsidR="008C314B" w14:paraId="02FABE5A" w14:textId="77777777">
        <w:tc>
          <w:tcPr>
            <w:tcW w:w="4855" w:type="dxa"/>
            <w:shd w:val="clear" w:color="auto" w:fill="FFFFFF"/>
            <w:noWrap/>
            <w:tcMar>
              <w:top w:w="75" w:type="dxa"/>
              <w:left w:w="75" w:type="dxa"/>
              <w:bottom w:w="75" w:type="dxa"/>
              <w:right w:w="75" w:type="dxa"/>
            </w:tcMar>
            <w:vAlign w:val="center"/>
          </w:tcPr>
          <w:p w14:paraId="162246BD" w14:textId="77777777" w:rsidR="008C314B" w:rsidRDefault="008C314B"/>
        </w:tc>
        <w:tc>
          <w:tcPr>
            <w:tcW w:w="4856" w:type="dxa"/>
            <w:shd w:val="clear" w:color="auto" w:fill="FFFFFF"/>
            <w:noWrap/>
            <w:tcMar>
              <w:top w:w="75" w:type="dxa"/>
              <w:left w:w="75" w:type="dxa"/>
              <w:bottom w:w="75" w:type="dxa"/>
              <w:right w:w="75" w:type="dxa"/>
            </w:tcMar>
            <w:vAlign w:val="center"/>
          </w:tcPr>
          <w:p w14:paraId="3C0086A5" w14:textId="77777777" w:rsidR="008C314B" w:rsidRDefault="00CF2E21">
            <w:pPr>
              <w:jc w:val="center"/>
            </w:pPr>
            <w:r>
              <w:t>(vārds, uzvārds, paraksts**)</w:t>
            </w:r>
          </w:p>
        </w:tc>
        <w:tc>
          <w:tcPr>
            <w:tcW w:w="4856" w:type="dxa"/>
            <w:shd w:val="clear" w:color="auto" w:fill="FFFFFF"/>
            <w:noWrap/>
            <w:tcMar>
              <w:top w:w="75" w:type="dxa"/>
              <w:left w:w="75" w:type="dxa"/>
              <w:bottom w:w="75" w:type="dxa"/>
              <w:right w:w="75" w:type="dxa"/>
            </w:tcMar>
            <w:vAlign w:val="center"/>
          </w:tcPr>
          <w:p w14:paraId="7B3A3471" w14:textId="77777777" w:rsidR="008C314B" w:rsidRDefault="008C314B"/>
        </w:tc>
      </w:tr>
    </w:tbl>
    <w:p w14:paraId="68653A5D" w14:textId="77777777" w:rsidR="008C314B" w:rsidRDefault="008C314B"/>
    <w:p w14:paraId="0E7D006B" w14:textId="77777777" w:rsidR="008C314B" w:rsidRDefault="00CF2E21">
      <w:r>
        <w:t>Piezīmes.</w:t>
      </w:r>
    </w:p>
    <w:p w14:paraId="6C85D24C" w14:textId="77777777" w:rsidR="008C314B" w:rsidRDefault="00CF2E21">
      <w:r>
        <w:t xml:space="preserve">* </w:t>
      </w:r>
      <w:r>
        <w:t>Iesniedzējs (fiziskai personai – vārds, uzvārds, juridiskai personai – nosaukums) var tikt publiskots, ja viņš tam ir piekritis. Ja attiecināms, iesniedzējs norāda interešu pārstāvja reģistrācijas numuru.</w:t>
      </w:r>
    </w:p>
    <w:p w14:paraId="64E1AE1C" w14:textId="77777777" w:rsidR="008C314B" w:rsidRDefault="00CF2E21">
      <w:r>
        <w:t>** Dokumenta rekvizītus "datums" un "paraksts" neaizpilda, ja elektroniskais dokuments ir sagatavots atbilstoši normatīvajiem aktiem par elektronisko dokumentu noformēšanu.</w:t>
      </w:r>
    </w:p>
    <w:sectPr w:rsidR="008C314B">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50BB" w14:textId="77777777" w:rsidR="007F54A2" w:rsidRDefault="007F54A2">
      <w:r>
        <w:separator/>
      </w:r>
    </w:p>
  </w:endnote>
  <w:endnote w:type="continuationSeparator" w:id="0">
    <w:p w14:paraId="36EF8AA7" w14:textId="77777777" w:rsidR="007F54A2" w:rsidRDefault="007F5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428B" w14:textId="77777777" w:rsidR="008C314B" w:rsidRDefault="00CF2E21">
    <w:pPr>
      <w:jc w:val="right"/>
    </w:pPr>
    <w:r>
      <w:rPr>
        <w:sz w:val="24"/>
        <w:szCs w:val="24"/>
      </w:rPr>
      <w:fldChar w:fldCharType="begin"/>
    </w:r>
    <w:r>
      <w:rPr>
        <w:sz w:val="24"/>
        <w:szCs w:val="24"/>
      </w:rPr>
      <w:instrText>PAGE</w:instrText>
    </w:r>
    <w:r>
      <w:rPr>
        <w:sz w:val="24"/>
        <w:szCs w:val="24"/>
      </w:rPr>
      <w:fldChar w:fldCharType="separate"/>
    </w:r>
    <w:r w:rsidR="000B7D7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F957" w14:textId="77777777" w:rsidR="00E152FE" w:rsidRDefault="00CF2E2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EAAA" w14:textId="77777777" w:rsidR="007F54A2" w:rsidRDefault="007F54A2">
      <w:r>
        <w:separator/>
      </w:r>
    </w:p>
  </w:footnote>
  <w:footnote w:type="continuationSeparator" w:id="0">
    <w:p w14:paraId="2E748859" w14:textId="77777777" w:rsidR="007F54A2" w:rsidRDefault="007F5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35A7" w14:textId="77777777" w:rsidR="008C314B" w:rsidRDefault="00CF2E21">
    <w:pPr>
      <w:pStyle w:val="Header"/>
      <w:contextualSpacing w:val="0"/>
    </w:pPr>
    <w:r>
      <w:t>Viedokļu pārskats 25-TA-800</w:t>
    </w:r>
    <w:r>
      <w:br/>
      <w:t>Izdrukāts 25.06.2025. 10.49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3A54" w14:textId="77777777" w:rsidR="008C314B" w:rsidRDefault="00CF2E21">
    <w:pPr>
      <w:pStyle w:val="Header"/>
      <w:contextualSpacing w:val="0"/>
    </w:pPr>
    <w:r>
      <w:t>Viedokļu pārskats 25-TA-800</w:t>
    </w:r>
    <w:r>
      <w:br/>
      <w:t xml:space="preserve">Izdrukāts </w:t>
    </w:r>
    <w:r>
      <w:t>25.06.2025. 10.49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4B"/>
    <w:rsid w:val="00041CA5"/>
    <w:rsid w:val="00045C6A"/>
    <w:rsid w:val="00051271"/>
    <w:rsid w:val="000B7D73"/>
    <w:rsid w:val="000E562A"/>
    <w:rsid w:val="00105EA1"/>
    <w:rsid w:val="001074F7"/>
    <w:rsid w:val="00113005"/>
    <w:rsid w:val="001776F0"/>
    <w:rsid w:val="00184AE4"/>
    <w:rsid w:val="0020209F"/>
    <w:rsid w:val="002D6F1A"/>
    <w:rsid w:val="002F01EC"/>
    <w:rsid w:val="00327DE9"/>
    <w:rsid w:val="00347DDA"/>
    <w:rsid w:val="003E68F1"/>
    <w:rsid w:val="003E6FB8"/>
    <w:rsid w:val="003E72E0"/>
    <w:rsid w:val="003F6D53"/>
    <w:rsid w:val="004B68A4"/>
    <w:rsid w:val="004D1324"/>
    <w:rsid w:val="004F57E6"/>
    <w:rsid w:val="0051518E"/>
    <w:rsid w:val="00530D51"/>
    <w:rsid w:val="00534D90"/>
    <w:rsid w:val="00585C58"/>
    <w:rsid w:val="005938C2"/>
    <w:rsid w:val="00596CCD"/>
    <w:rsid w:val="005D50CE"/>
    <w:rsid w:val="00634839"/>
    <w:rsid w:val="0063633D"/>
    <w:rsid w:val="006900DB"/>
    <w:rsid w:val="006C39FA"/>
    <w:rsid w:val="006D09AF"/>
    <w:rsid w:val="006D4B15"/>
    <w:rsid w:val="006D5007"/>
    <w:rsid w:val="00707E86"/>
    <w:rsid w:val="007126BE"/>
    <w:rsid w:val="00714857"/>
    <w:rsid w:val="0072629D"/>
    <w:rsid w:val="00731037"/>
    <w:rsid w:val="00750A41"/>
    <w:rsid w:val="007548E8"/>
    <w:rsid w:val="0079590A"/>
    <w:rsid w:val="007C061F"/>
    <w:rsid w:val="007F54A2"/>
    <w:rsid w:val="008674E7"/>
    <w:rsid w:val="008A0119"/>
    <w:rsid w:val="008B3927"/>
    <w:rsid w:val="008B704E"/>
    <w:rsid w:val="008C314B"/>
    <w:rsid w:val="008C5ECF"/>
    <w:rsid w:val="008D0EFC"/>
    <w:rsid w:val="008D6A1B"/>
    <w:rsid w:val="008E6AF7"/>
    <w:rsid w:val="008F3D91"/>
    <w:rsid w:val="008F7985"/>
    <w:rsid w:val="00983128"/>
    <w:rsid w:val="00987F34"/>
    <w:rsid w:val="009C41C0"/>
    <w:rsid w:val="00A23076"/>
    <w:rsid w:val="00A85C7A"/>
    <w:rsid w:val="00AB303F"/>
    <w:rsid w:val="00B018D4"/>
    <w:rsid w:val="00B0575E"/>
    <w:rsid w:val="00B42863"/>
    <w:rsid w:val="00B72003"/>
    <w:rsid w:val="00BA0441"/>
    <w:rsid w:val="00BF5291"/>
    <w:rsid w:val="00BF58DF"/>
    <w:rsid w:val="00C364B0"/>
    <w:rsid w:val="00CD221C"/>
    <w:rsid w:val="00CE43EF"/>
    <w:rsid w:val="00CE5854"/>
    <w:rsid w:val="00CF2E21"/>
    <w:rsid w:val="00CF49F2"/>
    <w:rsid w:val="00D12D01"/>
    <w:rsid w:val="00D347A1"/>
    <w:rsid w:val="00D92FC3"/>
    <w:rsid w:val="00DB74B8"/>
    <w:rsid w:val="00DD6157"/>
    <w:rsid w:val="00E023BC"/>
    <w:rsid w:val="00E152FE"/>
    <w:rsid w:val="00E94BB8"/>
    <w:rsid w:val="00EB3659"/>
    <w:rsid w:val="00EB6BF4"/>
    <w:rsid w:val="00EC2731"/>
    <w:rsid w:val="00ED19A2"/>
    <w:rsid w:val="00ED51CF"/>
    <w:rsid w:val="00EE2443"/>
    <w:rsid w:val="00EF3470"/>
    <w:rsid w:val="00F13048"/>
    <w:rsid w:val="00F36D6D"/>
    <w:rsid w:val="00F37E77"/>
    <w:rsid w:val="00FA0AE0"/>
    <w:rsid w:val="00FB1D30"/>
    <w:rsid w:val="00FB436A"/>
    <w:rsid w:val="00FE0E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5BBB"/>
  <w15:docId w15:val="{F61C7A39-FE30-4A47-81F8-7F125F60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863"/>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12613</Words>
  <Characters>7190</Characters>
  <Application>Microsoft Office Word</Application>
  <DocSecurity>4</DocSecurity>
  <Lines>59</Lines>
  <Paragraphs>39</Paragraphs>
  <ScaleCrop>false</ScaleCrop>
  <HeadingPairs>
    <vt:vector size="2" baseType="variant">
      <vt:variant>
        <vt:lpstr>Title</vt:lpstr>
      </vt:variant>
      <vt:variant>
        <vt:i4>1</vt:i4>
      </vt:variant>
    </vt:vector>
  </HeadingPairs>
  <TitlesOfParts>
    <vt:vector size="1" baseType="lpstr">
      <vt:lpstr>viedoklu_parskats_25-TA-800.docx</vt:lpstr>
    </vt:vector>
  </TitlesOfParts>
  <Company/>
  <LinksUpToDate>false</LinksUpToDate>
  <CharactersWithSpaces>19764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viedoklu_parskats_25-TA-800.docx</dc:title>
  <dc:creator>Olga Feldmane</dc:creator>
  <cp:lastModifiedBy>Evija Avota</cp:lastModifiedBy>
  <cp:revision>2</cp:revision>
  <dcterms:created xsi:type="dcterms:W3CDTF">2025-06-26T12:55:00Z</dcterms:created>
  <dcterms:modified xsi:type="dcterms:W3CDTF">2025-06-26T12:55:00Z</dcterms:modified>
</cp:coreProperties>
</file>