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FCD464" w14:textId="77777777" w:rsidR="00D26075" w:rsidRPr="00531C55" w:rsidRDefault="00D607F3">
      <w:pPr>
        <w:spacing w:after="240"/>
        <w:jc w:val="center"/>
        <w:rPr>
          <w:b/>
          <w:sz w:val="24"/>
          <w:szCs w:val="24"/>
        </w:rPr>
      </w:pPr>
      <w:r w:rsidRPr="00531C55">
        <w:rPr>
          <w:b/>
          <w:sz w:val="24"/>
          <w:szCs w:val="24"/>
        </w:rPr>
        <w:t>“Publiskās apspriešanas laikā 21.04.2026. - 05.05.2026. saņemto viedokļu, priekšlikumu un iebildumu apkopojums par Par bāzes pensijas attīstības iecerēm”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D26075" w:rsidRPr="00531C55" w14:paraId="3C452AFB" w14:textId="77777777">
        <w:tc>
          <w:tcPr>
            <w:tcW w:w="750" w:type="dxa"/>
            <w:shd w:val="clear" w:color="auto" w:fill="FFFFFF"/>
            <w:noWrap/>
            <w:tcMar>
              <w:top w:w="75" w:type="dxa"/>
              <w:left w:w="75" w:type="dxa"/>
              <w:bottom w:w="75" w:type="dxa"/>
              <w:right w:w="75" w:type="dxa"/>
            </w:tcMar>
            <w:vAlign w:val="center"/>
          </w:tcPr>
          <w:p w14:paraId="5C6CECBF" w14:textId="77777777" w:rsidR="00D26075" w:rsidRPr="00531C55" w:rsidRDefault="00D607F3">
            <w:pPr>
              <w:jc w:val="center"/>
              <w:rPr>
                <w:sz w:val="24"/>
                <w:szCs w:val="24"/>
              </w:rPr>
            </w:pPr>
            <w:r w:rsidRPr="00531C55">
              <w:rPr>
                <w:b/>
                <w:sz w:val="24"/>
                <w:szCs w:val="24"/>
              </w:rPr>
              <w:t>Nr.p.k.</w:t>
            </w:r>
          </w:p>
        </w:tc>
        <w:tc>
          <w:tcPr>
            <w:tcW w:w="4055" w:type="dxa"/>
            <w:shd w:val="clear" w:color="auto" w:fill="FFFFFF"/>
            <w:noWrap/>
            <w:tcMar>
              <w:top w:w="75" w:type="dxa"/>
              <w:left w:w="75" w:type="dxa"/>
              <w:bottom w:w="75" w:type="dxa"/>
              <w:right w:w="75" w:type="dxa"/>
            </w:tcMar>
            <w:vAlign w:val="center"/>
          </w:tcPr>
          <w:p w14:paraId="59C3554B" w14:textId="77777777" w:rsidR="00D26075" w:rsidRPr="00531C55" w:rsidRDefault="00D607F3">
            <w:pPr>
              <w:jc w:val="center"/>
              <w:rPr>
                <w:sz w:val="24"/>
                <w:szCs w:val="24"/>
              </w:rPr>
            </w:pPr>
            <w:r w:rsidRPr="00531C55">
              <w:rPr>
                <w:b/>
                <w:sz w:val="24"/>
                <w:szCs w:val="24"/>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5AC0C64" w14:textId="77777777" w:rsidR="00D26075" w:rsidRPr="00531C55" w:rsidRDefault="00D607F3">
            <w:pPr>
              <w:jc w:val="center"/>
              <w:rPr>
                <w:sz w:val="24"/>
                <w:szCs w:val="24"/>
              </w:rPr>
            </w:pPr>
            <w:r w:rsidRPr="00531C55">
              <w:rPr>
                <w:b/>
                <w:sz w:val="24"/>
                <w:szCs w:val="24"/>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2464329E" w14:textId="77777777" w:rsidR="00D26075" w:rsidRPr="00531C55" w:rsidRDefault="00D607F3">
            <w:pPr>
              <w:jc w:val="center"/>
              <w:rPr>
                <w:sz w:val="24"/>
                <w:szCs w:val="24"/>
              </w:rPr>
            </w:pPr>
            <w:r w:rsidRPr="00531C55">
              <w:rPr>
                <w:b/>
                <w:sz w:val="24"/>
                <w:szCs w:val="24"/>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32F6AC85" w14:textId="77777777" w:rsidR="00D26075" w:rsidRPr="00531C55" w:rsidRDefault="00D607F3">
            <w:pPr>
              <w:jc w:val="center"/>
              <w:rPr>
                <w:sz w:val="24"/>
                <w:szCs w:val="24"/>
              </w:rPr>
            </w:pPr>
            <w:r w:rsidRPr="00531C55">
              <w:rPr>
                <w:b/>
                <w:sz w:val="24"/>
                <w:szCs w:val="24"/>
              </w:rPr>
              <w:t>Skaidrojums, kādā veidā viedoklis / priekšlikums / iebildums ir ņemts vērā vai ņemts vērā daļēji, vai pamatojums, ja viedoklis / priekšlikums / iebildums nav ņemts vērā</w:t>
            </w:r>
          </w:p>
        </w:tc>
      </w:tr>
      <w:tr w:rsidR="00D26075" w:rsidRPr="00531C55" w14:paraId="5719A561" w14:textId="77777777">
        <w:tc>
          <w:tcPr>
            <w:tcW w:w="750" w:type="dxa"/>
            <w:shd w:val="clear" w:color="auto" w:fill="FFFFFF"/>
            <w:noWrap/>
            <w:tcMar>
              <w:top w:w="75" w:type="dxa"/>
              <w:left w:w="75" w:type="dxa"/>
              <w:bottom w:w="75" w:type="dxa"/>
              <w:right w:w="75" w:type="dxa"/>
            </w:tcMar>
            <w:vAlign w:val="center"/>
          </w:tcPr>
          <w:p w14:paraId="448EAFA8" w14:textId="77777777" w:rsidR="00D26075" w:rsidRPr="00531C55" w:rsidRDefault="00D607F3">
            <w:pPr>
              <w:jc w:val="center"/>
              <w:rPr>
                <w:sz w:val="24"/>
                <w:szCs w:val="24"/>
              </w:rPr>
            </w:pPr>
            <w:r w:rsidRPr="00531C55">
              <w:rPr>
                <w:sz w:val="24"/>
                <w:szCs w:val="24"/>
              </w:rPr>
              <w:t>1.</w:t>
            </w:r>
          </w:p>
        </w:tc>
        <w:tc>
          <w:tcPr>
            <w:tcW w:w="4055" w:type="dxa"/>
            <w:shd w:val="clear" w:color="auto" w:fill="FFFFFF"/>
            <w:noWrap/>
            <w:tcMar>
              <w:top w:w="75" w:type="dxa"/>
              <w:left w:w="75" w:type="dxa"/>
              <w:bottom w:w="75" w:type="dxa"/>
              <w:right w:w="75" w:type="dxa"/>
            </w:tcMar>
            <w:vAlign w:val="center"/>
          </w:tcPr>
          <w:p w14:paraId="30F59D05" w14:textId="77777777" w:rsidR="00D26075" w:rsidRPr="00531C55" w:rsidRDefault="00D607F3">
            <w:pPr>
              <w:jc w:val="left"/>
              <w:rPr>
                <w:sz w:val="24"/>
                <w:szCs w:val="24"/>
              </w:rPr>
            </w:pPr>
            <w:r w:rsidRPr="00531C55">
              <w:rPr>
                <w:sz w:val="24"/>
                <w:szCs w:val="24"/>
              </w:rPr>
              <w:t>Fiziska persona</w:t>
            </w:r>
          </w:p>
        </w:tc>
        <w:tc>
          <w:tcPr>
            <w:tcW w:w="4056" w:type="dxa"/>
            <w:shd w:val="clear" w:color="auto" w:fill="FFFFFF"/>
            <w:noWrap/>
            <w:tcMar>
              <w:top w:w="75" w:type="dxa"/>
              <w:left w:w="75" w:type="dxa"/>
              <w:bottom w:w="75" w:type="dxa"/>
              <w:right w:w="75" w:type="dxa"/>
            </w:tcMar>
            <w:vAlign w:val="center"/>
          </w:tcPr>
          <w:p w14:paraId="59958C40" w14:textId="77777777" w:rsidR="00D26075" w:rsidRPr="00531C55" w:rsidRDefault="00D607F3">
            <w:pPr>
              <w:jc w:val="left"/>
              <w:rPr>
                <w:sz w:val="24"/>
                <w:szCs w:val="24"/>
              </w:rPr>
            </w:pPr>
            <w:r w:rsidRPr="00531C55">
              <w:rPr>
                <w:sz w:val="24"/>
                <w:szCs w:val="24"/>
              </w:rPr>
              <w:t>Ieviest no 80 gadiem nevis no 85.</w:t>
            </w:r>
          </w:p>
        </w:tc>
        <w:tc>
          <w:tcPr>
            <w:tcW w:w="1650" w:type="dxa"/>
            <w:shd w:val="clear" w:color="auto" w:fill="FFFFFF"/>
            <w:noWrap/>
            <w:tcMar>
              <w:top w:w="75" w:type="dxa"/>
              <w:left w:w="75" w:type="dxa"/>
              <w:bottom w:w="75" w:type="dxa"/>
              <w:right w:w="75" w:type="dxa"/>
            </w:tcMar>
            <w:vAlign w:val="center"/>
          </w:tcPr>
          <w:p w14:paraId="59325F5F" w14:textId="77777777" w:rsidR="000C7451" w:rsidRPr="00531C55" w:rsidRDefault="000C7451" w:rsidP="000C7451">
            <w:pPr>
              <w:jc w:val="left"/>
              <w:rPr>
                <w:sz w:val="24"/>
                <w:szCs w:val="24"/>
              </w:rPr>
            </w:pPr>
            <w:r w:rsidRPr="00531C55">
              <w:rPr>
                <w:sz w:val="24"/>
                <w:szCs w:val="24"/>
              </w:rPr>
              <w:t>Nav ņemts vērā.</w:t>
            </w:r>
          </w:p>
          <w:p w14:paraId="7C819D78" w14:textId="77777777" w:rsidR="00D26075" w:rsidRPr="00531C55" w:rsidRDefault="00D26075">
            <w:pPr>
              <w:jc w:val="left"/>
              <w:rPr>
                <w:sz w:val="24"/>
                <w:szCs w:val="24"/>
              </w:rPr>
            </w:pPr>
          </w:p>
        </w:tc>
        <w:tc>
          <w:tcPr>
            <w:tcW w:w="4056" w:type="dxa"/>
            <w:shd w:val="clear" w:color="auto" w:fill="FFFFFF"/>
            <w:noWrap/>
            <w:tcMar>
              <w:top w:w="75" w:type="dxa"/>
              <w:left w:w="75" w:type="dxa"/>
              <w:bottom w:w="75" w:type="dxa"/>
              <w:right w:w="75" w:type="dxa"/>
            </w:tcMar>
            <w:vAlign w:val="center"/>
          </w:tcPr>
          <w:p w14:paraId="1382FC42" w14:textId="77777777" w:rsidR="000C7451" w:rsidRPr="00531C55" w:rsidRDefault="000C7451" w:rsidP="000C7451">
            <w:pPr>
              <w:rPr>
                <w:sz w:val="24"/>
                <w:szCs w:val="24"/>
                <w:shd w:val="clear" w:color="auto" w:fill="FFFFFF"/>
              </w:rPr>
            </w:pPr>
            <w:r w:rsidRPr="00531C55">
              <w:rPr>
                <w:sz w:val="24"/>
                <w:szCs w:val="24"/>
                <w:shd w:val="clear" w:color="auto" w:fill="FFFFFF"/>
              </w:rPr>
              <w:t>Ļoti pakāpenisks risinājums piedāvāts,  ņemot vērā valsts pamatbudžeta iespējas un fiskālo telpu.</w:t>
            </w:r>
          </w:p>
          <w:p w14:paraId="2314269A" w14:textId="77777777" w:rsidR="000C7451" w:rsidRPr="00531C55" w:rsidRDefault="000C7451">
            <w:pPr>
              <w:jc w:val="left"/>
              <w:rPr>
                <w:sz w:val="24"/>
                <w:szCs w:val="24"/>
              </w:rPr>
            </w:pPr>
          </w:p>
        </w:tc>
      </w:tr>
      <w:tr w:rsidR="00D26075" w:rsidRPr="00531C55" w14:paraId="17531E3F" w14:textId="77777777">
        <w:tc>
          <w:tcPr>
            <w:tcW w:w="750" w:type="dxa"/>
            <w:shd w:val="clear" w:color="auto" w:fill="FFFFFF"/>
            <w:noWrap/>
            <w:tcMar>
              <w:top w:w="75" w:type="dxa"/>
              <w:left w:w="75" w:type="dxa"/>
              <w:bottom w:w="75" w:type="dxa"/>
              <w:right w:w="75" w:type="dxa"/>
            </w:tcMar>
            <w:vAlign w:val="center"/>
          </w:tcPr>
          <w:p w14:paraId="0DEA665D" w14:textId="77777777" w:rsidR="00D26075" w:rsidRPr="00531C55" w:rsidRDefault="00D607F3">
            <w:pPr>
              <w:jc w:val="center"/>
              <w:rPr>
                <w:sz w:val="24"/>
                <w:szCs w:val="24"/>
              </w:rPr>
            </w:pPr>
            <w:r w:rsidRPr="00531C55">
              <w:rPr>
                <w:sz w:val="24"/>
                <w:szCs w:val="24"/>
              </w:rPr>
              <w:t>2.</w:t>
            </w:r>
          </w:p>
        </w:tc>
        <w:tc>
          <w:tcPr>
            <w:tcW w:w="4055" w:type="dxa"/>
            <w:shd w:val="clear" w:color="auto" w:fill="FFFFFF"/>
            <w:noWrap/>
            <w:tcMar>
              <w:top w:w="75" w:type="dxa"/>
              <w:left w:w="75" w:type="dxa"/>
              <w:bottom w:w="75" w:type="dxa"/>
              <w:right w:w="75" w:type="dxa"/>
            </w:tcMar>
            <w:vAlign w:val="center"/>
          </w:tcPr>
          <w:p w14:paraId="7465B561" w14:textId="77777777" w:rsidR="00D26075" w:rsidRPr="00531C55" w:rsidRDefault="00D607F3">
            <w:pPr>
              <w:jc w:val="left"/>
              <w:rPr>
                <w:sz w:val="24"/>
                <w:szCs w:val="24"/>
              </w:rPr>
            </w:pPr>
            <w:r w:rsidRPr="00531C55">
              <w:rPr>
                <w:sz w:val="24"/>
                <w:szCs w:val="24"/>
              </w:rPr>
              <w:t>Pēteris Leiškalns</w:t>
            </w:r>
          </w:p>
        </w:tc>
        <w:tc>
          <w:tcPr>
            <w:tcW w:w="4056" w:type="dxa"/>
            <w:shd w:val="clear" w:color="auto" w:fill="FFFFFF"/>
            <w:noWrap/>
            <w:tcMar>
              <w:top w:w="75" w:type="dxa"/>
              <w:left w:w="75" w:type="dxa"/>
              <w:bottom w:w="75" w:type="dxa"/>
              <w:right w:w="75" w:type="dxa"/>
            </w:tcMar>
            <w:vAlign w:val="center"/>
          </w:tcPr>
          <w:p w14:paraId="7CEC41E5" w14:textId="77777777" w:rsidR="00D26075" w:rsidRPr="00531C55" w:rsidRDefault="00D607F3">
            <w:pPr>
              <w:jc w:val="left"/>
              <w:rPr>
                <w:sz w:val="24"/>
                <w:szCs w:val="24"/>
              </w:rPr>
            </w:pPr>
            <w:r w:rsidRPr="00531C55">
              <w:rPr>
                <w:sz w:val="24"/>
                <w:szCs w:val="24"/>
              </w:rPr>
              <w:t>1. Pirmajā sadaļā ir minēts: "Kopējais vecuma pensijas atvietojuma līmenis Latvijā laika periodā kopš 2014.gada ir svārstījies ap 45%, kas ir viens no zemākajiem rādītājiem ES." </w:t>
            </w:r>
            <w:r w:rsidRPr="00531C55">
              <w:rPr>
                <w:sz w:val="24"/>
                <w:szCs w:val="24"/>
              </w:rPr>
              <w:br/>
            </w:r>
            <w:r w:rsidRPr="00531C55">
              <w:rPr>
                <w:i/>
                <w:sz w:val="24"/>
                <w:szCs w:val="24"/>
              </w:rPr>
              <w:t>P.L. Ja personas pensijas kapitālā ieskaitītu visus 23,91procentpunktus (%p)? Skaitot abus līmeņus kopā, pensija būtu par 19% lielāka, bet, rēķinot pret šībrīža 1.līmeni - par 26% lielāka, kas nozīmētu atvietojuma līmeņa pieaugumu par 9 procentpunktiem (%p), kā rezultātā atvietojuma līmenis būtu ~ 56% no bruto. </w:t>
            </w:r>
            <w:r w:rsidRPr="00531C55">
              <w:rPr>
                <w:sz w:val="24"/>
                <w:szCs w:val="24"/>
              </w:rPr>
              <w:br/>
            </w:r>
            <w:r w:rsidRPr="00531C55">
              <w:rPr>
                <w:sz w:val="24"/>
                <w:szCs w:val="24"/>
              </w:rPr>
              <w:br/>
              <w:t xml:space="preserve">2.  Projektā ir minēts: "ir nepieciešams </w:t>
            </w:r>
            <w:r w:rsidRPr="00531C55">
              <w:rPr>
                <w:sz w:val="24"/>
                <w:szCs w:val="24"/>
              </w:rPr>
              <w:lastRenderedPageBreak/>
              <w:t>lemt par papildu atbalstu pensijas vecuma iedzīvotājiem, kas nav atkarīgs no demogrāfijas rādītājiem vai valsts ekonomiskās attīstības cikliem." </w:t>
            </w:r>
            <w:r w:rsidRPr="00531C55">
              <w:rPr>
                <w:sz w:val="24"/>
                <w:szCs w:val="24"/>
              </w:rPr>
              <w:br/>
              <w:t>[P.L.]</w:t>
            </w:r>
            <w:r w:rsidRPr="00531C55">
              <w:rPr>
                <w:i/>
                <w:sz w:val="24"/>
                <w:szCs w:val="24"/>
              </w:rPr>
              <w:t xml:space="preserve"> Ņemot vērā, ka budžeta resursi ir saistīti ar valsts ekonomiskās attīstības cikliem, no pamatbudžeta maksāta bāzes pensija nevar būt neatkarīga no valsts ekonomiskās attīstības cikliem.</w:t>
            </w:r>
            <w:r w:rsidRPr="00531C55">
              <w:rPr>
                <w:sz w:val="24"/>
                <w:szCs w:val="24"/>
              </w:rPr>
              <w:br/>
            </w:r>
            <w:r w:rsidRPr="00531C55">
              <w:rPr>
                <w:sz w:val="24"/>
                <w:szCs w:val="24"/>
              </w:rPr>
              <w:br/>
              <w:t>3. Projektā ir minēts:  "vienlaikus nevar aizmirst arī, lai pensiju sistēma saglabātos taisnīga [PL1] un nezustu motivācija pilnvērtīgi piedalīties sociālās apdrošināšanas sistēmā"</w:t>
            </w:r>
            <w:r w:rsidRPr="00531C55">
              <w:rPr>
                <w:sz w:val="24"/>
                <w:szCs w:val="24"/>
              </w:rPr>
              <w:br/>
            </w:r>
            <w:r w:rsidRPr="00531C55">
              <w:rPr>
                <w:i/>
                <w:sz w:val="24"/>
                <w:szCs w:val="24"/>
              </w:rPr>
              <w:t xml:space="preserve">[P.L.] Manuprāt, vārdi 'saglabātos taisnīga" nav attiecināma uz Latvijas pensiju sistēmu, jo: 1) Sākumkapitāla atvasināšanu no dažu gadu iemaksām, manuprāt, nevar uzskatīt par taisnīgu;2) To, ka mātēm, kuras 90.to gadu sākumā audzināja bērnus, uz šo periodu netiek attiecināts apdrošināšanas stāžs, jo viņas nebija veikušas iemaksas no dažiem santīmiem līdz 50 santīmiem mēnesī, - manuprāt, nevar uzskatīt par taisnīgu. Pamatpazīmei tomēr ir jābūt uzaudzinātam bērnam, nevis šiem santīmiem.3) Piemaksu par stāžu piešķiršanu pēc pensionēšanās (dzimšanas) gada pazīmes, manuprāt, nevar uzskatīt par taisnīgu;4) </w:t>
            </w:r>
            <w:r w:rsidRPr="00531C55">
              <w:rPr>
                <w:i/>
                <w:sz w:val="24"/>
                <w:szCs w:val="24"/>
              </w:rPr>
              <w:lastRenderedPageBreak/>
              <w:t>Indeksācijas ierobežojumi, kas attiecas ne tikai uz, iespējams, mākslīgi "uzaudzētu" sākumkapitālu, bet arī uz pensijas daļu, kas ir balstīta reālās iemaksās, manuprāt, nevar uzskatīt par taisnīgu;5) To, ka persona kurai ir pietiekams pensijas kapitāls, kas nodrošinātu uz tā balstītu pensiju vismaz minimālās pensijas apmērā, nevar saņemt uz veiktajām iemaksām balstītu pensiju tikai tādēļ, ka nav pietiekams kvalifikācijas stāžs, manuprāt,nevar uzskatīt par taisnīgu;6) To, ka persona kurai ir uzkrāts lielāks vai mazāks pensijas kapitāls, nepietiekama kvalifikācijas stāža gadījumā nevar saņemt pat fondēto pensijas daļu, manuprāt, nevar uzskatīt par taisnīgu.7) To, ka personām, kuras maksā t.s. Solidaritātes nodokli, kapitālā neieskaita uz obligāto fondēto pensiju attiecināmo iemaksu daļu, manuprāt, arī nevar uzskatīt par taisnīguLīdz ar to vārds "saglabātu" ir aizstājams ar vārdiem "virzītos uz" vai vārdkopa "pensiju sistēma saglabātos taisnīga un" ir jāizslēdz</w:t>
            </w:r>
            <w:r w:rsidRPr="00531C55">
              <w:rPr>
                <w:sz w:val="24"/>
                <w:szCs w:val="24"/>
              </w:rPr>
              <w:br/>
            </w:r>
            <w:r w:rsidRPr="00531C55">
              <w:rPr>
                <w:sz w:val="24"/>
                <w:szCs w:val="24"/>
              </w:rPr>
              <w:br/>
              <w:t xml:space="preserve"> 4. Projektā minēts: "Piemaksas ieviešanas sākotnējais mērķis bija uzlabot materiālo nodrošinājumu pensijas saņēmējiem ar nelielām </w:t>
            </w:r>
            <w:r w:rsidRPr="00531C55">
              <w:rPr>
                <w:sz w:val="24"/>
                <w:szCs w:val="24"/>
              </w:rPr>
              <w:lastRenderedPageBreak/>
              <w:t>pensijām un lielu apdrošināšanas stāžu". </w:t>
            </w:r>
            <w:r w:rsidRPr="00531C55">
              <w:rPr>
                <w:sz w:val="24"/>
                <w:szCs w:val="24"/>
              </w:rPr>
              <w:br/>
            </w:r>
            <w:r w:rsidRPr="00531C55">
              <w:rPr>
                <w:i/>
                <w:sz w:val="24"/>
                <w:szCs w:val="24"/>
              </w:rPr>
              <w:t>[PL1] Tam daļēji var piekrist, tomēr Piemaksas ieviešanas sākotnējais mērķis bija mazināt plaisu starp sākumkapitāla atvasināšanas īpatnību rezultātā piešķirtajām lielajām (tostarp ļoti lielajām) un izteikti nelielalām pensijām. No 2009.gada, kad piemaksas sāka piešķirt neatkarīgi no piešķirtās pensijas apmēra, Piemaksas zaudēja sākotnējo funkciju. </w:t>
            </w:r>
            <w:r w:rsidRPr="00531C55">
              <w:rPr>
                <w:sz w:val="24"/>
                <w:szCs w:val="24"/>
              </w:rPr>
              <w:br/>
            </w:r>
            <w:r w:rsidRPr="00531C55">
              <w:rPr>
                <w:sz w:val="24"/>
                <w:szCs w:val="24"/>
              </w:rPr>
              <w:br/>
              <w:t>5. Projektā pareizi norādīts, ka "Ar 2012.gada 1.janvāri piemaksas pie pensijas par nostrādātajiem gadiem līdz 1995.gada 31.decembrim no jauna vairs nepiešķīra, taču turpināja izmaksāt iepriekš piešķirtās piemaksas." </w:t>
            </w:r>
            <w:r w:rsidRPr="00531C55">
              <w:rPr>
                <w:sz w:val="24"/>
                <w:szCs w:val="24"/>
              </w:rPr>
              <w:br/>
            </w:r>
            <w:r w:rsidRPr="00531C55">
              <w:rPr>
                <w:i/>
                <w:sz w:val="24"/>
                <w:szCs w:val="24"/>
              </w:rPr>
              <w:t xml:space="preserve">[P.L.] Pēc 2011.gada 31.decembra  jaunpiešķirto vecuma un invaliditātes pensiju saņēmējiem pārtrauca piešķirt piemaksu par apdrošināšanas stāžu, kas uzkrāts līdz 1995.gada 31.decembrim. Arī mazo pensiju saņēmējiem, kuriem piemaksas pēc to sākotnējā mērķa pienāktos. Savukārt no 2009. līdz 2011.gadam piešķirtās piemaksas saņēma arī personas, kurām tās pēc piemaksu sākotnējā mērķa nepienāktos. Piešķirot piemaksas pēc pensionāšanās </w:t>
            </w:r>
            <w:r w:rsidRPr="00531C55">
              <w:rPr>
                <w:i/>
                <w:sz w:val="24"/>
                <w:szCs w:val="24"/>
              </w:rPr>
              <w:lastRenderedPageBreak/>
              <w:t>gada pazīmes, faktiski izveidojās atšķirīga attieksme pēc dzimšanas gada pazīmes, kas nav labs risinājums. Satversmes tiesa, izvērtējot piemaksu jautājumu, atzina, ka personas kuras pensionējās 2011.gadā un vēlāk, ir salīdzināmos apstākļos, tomēr pieļāva atkāpi no vienlīdzīguma nosacījumiem, lai neapdraudētu pensiju speciālā budžeta ilgtspēju. Ņemot vērā, ka sākot ar 2014.gadu piemaksas izmaksā no pamatbudžeta, atšķirīgajai attieksmei vairs nav legāla pamata.  </w:t>
            </w:r>
            <w:r w:rsidRPr="00531C55">
              <w:rPr>
                <w:sz w:val="24"/>
                <w:szCs w:val="24"/>
              </w:rPr>
              <w:br/>
            </w:r>
            <w:r w:rsidRPr="00531C55">
              <w:rPr>
                <w:sz w:val="24"/>
                <w:szCs w:val="24"/>
              </w:rPr>
              <w:br/>
              <w:t>6. Projektā ir minēts: "Piemaksas apmērs tiek katru gadu oktobrī indeksēts, ņemot vērā faktisko patēriņa cenu indeksu un 50% no apdrošināšanas iemaksu algu summas reālā pieauguma procentiem.</w:t>
            </w:r>
            <w:r w:rsidRPr="00531C55">
              <w:rPr>
                <w:sz w:val="24"/>
                <w:szCs w:val="24"/>
              </w:rPr>
              <w:br/>
            </w:r>
            <w:r w:rsidRPr="00531C55">
              <w:rPr>
                <w:i/>
                <w:sz w:val="24"/>
                <w:szCs w:val="24"/>
              </w:rPr>
              <w:t> [PL1] Lēmums indeksēt jau piešķirtās piemaksas laikā, kad it kā līdzekļu trūkuma dēļ nebija nodrošināta piemaksa visām personām, kurām ir stāžs līdz 1996.gadam, vēl vairāk palielināja nevienlīdzību starp pirmo un otro grupu.</w:t>
            </w:r>
            <w:r w:rsidRPr="00531C55">
              <w:rPr>
                <w:sz w:val="24"/>
                <w:szCs w:val="24"/>
              </w:rPr>
              <w:br/>
            </w:r>
            <w:r w:rsidRPr="00531C55">
              <w:rPr>
                <w:sz w:val="24"/>
                <w:szCs w:val="24"/>
              </w:rPr>
              <w:br/>
              <w:t xml:space="preserve">7.  Projektā ir minēts: "Piemaksas pilnveidošana būtu iespēja virzībai uz “bāzes” pensiju, kas nodrošinātu taisnīgumu pret visiem vecuma pensijas </w:t>
            </w:r>
            <w:r w:rsidRPr="00531C55">
              <w:rPr>
                <w:sz w:val="24"/>
                <w:szCs w:val="24"/>
              </w:rPr>
              <w:lastRenderedPageBreak/>
              <w:t>saņēmējiem, neatkarīgi no laika, kad piešķirta pensija."</w:t>
            </w:r>
            <w:r w:rsidRPr="00531C55">
              <w:rPr>
                <w:sz w:val="24"/>
                <w:szCs w:val="24"/>
              </w:rPr>
              <w:br/>
            </w:r>
            <w:r w:rsidRPr="00531C55">
              <w:rPr>
                <w:i/>
                <w:sz w:val="24"/>
                <w:szCs w:val="24"/>
              </w:rPr>
              <w:t>[PL] Taisnīgumu attiecībā uz piemaksām var nodrošināt arī bez “bāzes” pensiju ieviešanas. Vienkārši ir jāpiešķir piemaksas visām personām, kurām ir apdrošināšanas stāžs līdz 1996.gadam.</w:t>
            </w:r>
            <w:r w:rsidRPr="00531C55">
              <w:rPr>
                <w:sz w:val="24"/>
                <w:szCs w:val="24"/>
              </w:rPr>
              <w:br/>
            </w:r>
            <w:r w:rsidRPr="00531C55">
              <w:rPr>
                <w:sz w:val="24"/>
                <w:szCs w:val="24"/>
              </w:rPr>
              <w:br/>
              <w:t>8. Projektā ir: "Piedāvājums - ar 2027.gada 1.janvāri Latvijā dzīvojošiem vecuma pensijas saņēmējiem, kuri sasnieguši 85 gadu vecumu un vairāk gadu"</w:t>
            </w:r>
            <w:r w:rsidRPr="00531C55">
              <w:rPr>
                <w:sz w:val="24"/>
                <w:szCs w:val="24"/>
              </w:rPr>
              <w:br/>
            </w:r>
            <w:r w:rsidRPr="00531C55">
              <w:rPr>
                <w:i/>
                <w:sz w:val="24"/>
                <w:szCs w:val="24"/>
              </w:rPr>
              <w:t>[P.L.] Vispirms ir jānovērš šobrīd pastāvošā diskriminācija pēc pensionēšanās (dzimšanas) gada pazīmes attiecībā uz piemaksām par stāžu līdz 1995. gada 31.decembrim.</w:t>
            </w:r>
            <w:r w:rsidRPr="00531C55">
              <w:rPr>
                <w:sz w:val="24"/>
                <w:szCs w:val="24"/>
              </w:rPr>
              <w:t xml:space="preserve">EndFragment </w:t>
            </w:r>
            <w:r w:rsidRPr="00531C55">
              <w:rPr>
                <w:sz w:val="24"/>
                <w:szCs w:val="24"/>
              </w:rPr>
              <w:br/>
            </w:r>
            <w:r w:rsidRPr="00531C55">
              <w:rPr>
                <w:sz w:val="24"/>
                <w:szCs w:val="24"/>
              </w:rPr>
              <w:br/>
              <w:t>9. Projektā ir tabula ar piedāvājumu ik pa 3 gadiem papildināt bāzes pensijas saņēmēju loku pa 5 gadu kohortēm. </w:t>
            </w:r>
            <w:r w:rsidRPr="00531C55">
              <w:rPr>
                <w:sz w:val="24"/>
                <w:szCs w:val="24"/>
              </w:rPr>
              <w:br/>
              <w:t> [PL1] Nav skaidrs:</w:t>
            </w:r>
            <w:r w:rsidRPr="00531C55">
              <w:rPr>
                <w:sz w:val="24"/>
                <w:szCs w:val="24"/>
              </w:rPr>
              <w:br/>
              <w:t>1) kādēļ šo tiesību piešķiršanai ir jānotiek "lēcienveidīgi". Kādēļ nevar būt, piemēram, katru gadu palielina pa divu gadu kohortēm?</w:t>
            </w:r>
            <w:r w:rsidRPr="00531C55">
              <w:rPr>
                <w:sz w:val="24"/>
                <w:szCs w:val="24"/>
              </w:rPr>
              <w:br/>
              <w:t>2) Vai ir pārliecība, ka 2039.gadā un nākamajos pensionēšanās vecums būs 65 gadi?</w:t>
            </w:r>
            <w:r w:rsidRPr="00531C55">
              <w:rPr>
                <w:sz w:val="24"/>
                <w:szCs w:val="24"/>
              </w:rPr>
              <w:br/>
            </w:r>
            <w:r w:rsidRPr="00531C55">
              <w:rPr>
                <w:sz w:val="24"/>
                <w:szCs w:val="24"/>
              </w:rPr>
              <w:lastRenderedPageBreak/>
              <w:br/>
            </w:r>
            <w:r w:rsidRPr="00531C55">
              <w:rPr>
                <w:i/>
                <w:sz w:val="24"/>
                <w:szCs w:val="24"/>
              </w:rPr>
              <w:t>10. [P.L.] Kopumā, lai iedzīvotājus motivētu veikt iemaksas, tādā veidā nodrošinot pietiekamu finansējumu gan esošajai pensionāru paaudzei, gan savai nākotnes pensijai, ir jānovērš visi nosacījumi, kas var mazināt ticību pensiju sistēmas taisnīgumam, un, ja runājam par 2050.gadu - tad beidzot ir jāpievēršas nopietnai ģimeņu atbalsta politikai. </w:t>
            </w:r>
          </w:p>
        </w:tc>
        <w:tc>
          <w:tcPr>
            <w:tcW w:w="1650" w:type="dxa"/>
            <w:shd w:val="clear" w:color="auto" w:fill="FFFFFF"/>
            <w:noWrap/>
            <w:tcMar>
              <w:top w:w="75" w:type="dxa"/>
              <w:left w:w="75" w:type="dxa"/>
              <w:bottom w:w="75" w:type="dxa"/>
              <w:right w:w="75" w:type="dxa"/>
            </w:tcMar>
            <w:vAlign w:val="center"/>
          </w:tcPr>
          <w:p w14:paraId="0EA8F18B" w14:textId="77777777" w:rsidR="000C7451" w:rsidRPr="00531C55" w:rsidRDefault="000C7451" w:rsidP="000C7451">
            <w:pPr>
              <w:jc w:val="left"/>
              <w:rPr>
                <w:sz w:val="24"/>
                <w:szCs w:val="24"/>
              </w:rPr>
            </w:pPr>
            <w:r w:rsidRPr="00531C55">
              <w:rPr>
                <w:sz w:val="24"/>
                <w:szCs w:val="24"/>
              </w:rPr>
              <w:lastRenderedPageBreak/>
              <w:t>Nav ņemts vērā.</w:t>
            </w:r>
          </w:p>
          <w:p w14:paraId="02472503" w14:textId="77777777" w:rsidR="00D26075" w:rsidRPr="00531C55" w:rsidRDefault="00D26075">
            <w:pPr>
              <w:jc w:val="left"/>
              <w:rPr>
                <w:sz w:val="24"/>
                <w:szCs w:val="24"/>
              </w:rPr>
            </w:pPr>
          </w:p>
        </w:tc>
        <w:tc>
          <w:tcPr>
            <w:tcW w:w="4056" w:type="dxa"/>
            <w:shd w:val="clear" w:color="auto" w:fill="FFFFFF"/>
            <w:noWrap/>
            <w:tcMar>
              <w:top w:w="75" w:type="dxa"/>
              <w:left w:w="75" w:type="dxa"/>
              <w:bottom w:w="75" w:type="dxa"/>
              <w:right w:w="75" w:type="dxa"/>
            </w:tcMar>
            <w:vAlign w:val="center"/>
          </w:tcPr>
          <w:p w14:paraId="7E638A73" w14:textId="77777777" w:rsidR="000C7451" w:rsidRPr="00531C55" w:rsidRDefault="000C7451" w:rsidP="000C7451">
            <w:pPr>
              <w:rPr>
                <w:sz w:val="24"/>
                <w:szCs w:val="24"/>
              </w:rPr>
            </w:pPr>
            <w:r w:rsidRPr="00531C55">
              <w:rPr>
                <w:sz w:val="24"/>
                <w:szCs w:val="24"/>
              </w:rPr>
              <w:t>Informatīvā ziņojuma mērķis ir piedāvāt bāzes pensijas ieviešanas modeli visiem vecuma pensijas saņēmējiem, neatkarīgi no laika, kad piešķirta pensija. Piemaksas piešķiršana pie visām vecuma pensijām un tās apmēra noteikšana atbilstoši personas kopējam individuālajam apdrošināšanas stāžam būtu taisnīga pret visiem vecuma pensijas saņēmējiem.</w:t>
            </w:r>
          </w:p>
          <w:p w14:paraId="4BC35DFB" w14:textId="77777777" w:rsidR="000C7451" w:rsidRPr="00531C55" w:rsidRDefault="000C7451" w:rsidP="000C7451">
            <w:pPr>
              <w:rPr>
                <w:sz w:val="24"/>
                <w:szCs w:val="24"/>
              </w:rPr>
            </w:pPr>
            <w:r w:rsidRPr="00531C55">
              <w:rPr>
                <w:sz w:val="24"/>
                <w:szCs w:val="24"/>
              </w:rPr>
              <w:t xml:space="preserve">Uzsākot pakāpeniski palielināt vecuma pensiju saņēmējiem piemaksu par stāžu līdz 1995.gada beigām par 0,50 eiro un ieviest piemaksu par stāžu no 1996.gada 1.janvāra personām, kuras sasniegušas 85 gadu vecumu un vairāk, jāatzīmē, ka visām šīm personām piemaksa par stāžu </w:t>
            </w:r>
            <w:r w:rsidRPr="00531C55">
              <w:rPr>
                <w:sz w:val="24"/>
                <w:szCs w:val="24"/>
              </w:rPr>
              <w:lastRenderedPageBreak/>
              <w:t>līdz 1995.gada beigām jau ir piešķirta. Respektīvi šajā vecuma grupā nav personu, kurām šāda piemaksa nav un ir stāžs līdz 1995.gada 31.decembrim. Piemaksu pilnveidošanas modeļa ieviešana ir piedāvāta ļoti “lēzena” 12 gadu laikā līdz visiem vecuma pensijas saņēmējiem piemaksa par stāžu līdz 1995.gadam būs palielināta un noteikta arī piemaksa par stāžu no 1996.gada.</w:t>
            </w:r>
          </w:p>
          <w:p w14:paraId="7DA19078" w14:textId="77777777" w:rsidR="00392AB2" w:rsidRPr="00531C55" w:rsidRDefault="00392AB2" w:rsidP="00392AB2">
            <w:pPr>
              <w:rPr>
                <w:sz w:val="24"/>
                <w:szCs w:val="24"/>
              </w:rPr>
            </w:pPr>
            <w:r w:rsidRPr="00531C55">
              <w:rPr>
                <w:sz w:val="24"/>
                <w:szCs w:val="24"/>
              </w:rPr>
              <w:t>Informatīvajā ziņojumā netiek uzskaitīti citi ar bāzes pensiju nesaistīti pensiju sistēmas uzlabojumi. Vienlaikus informējam, ka Labklājības ministrija gatavo vairākus priekšlikumus prioritārajiem pasākumiem 2027. gada budžetā, kas skar gan atbalstu ģimenēm ar bērniem, gan viņu pensiju nodrošinājumu nākotnē.</w:t>
            </w:r>
          </w:p>
          <w:p w14:paraId="20F94EDC" w14:textId="77777777" w:rsidR="00D26075" w:rsidRPr="00531C55" w:rsidRDefault="00D26075">
            <w:pPr>
              <w:jc w:val="left"/>
              <w:rPr>
                <w:sz w:val="24"/>
                <w:szCs w:val="24"/>
              </w:rPr>
            </w:pPr>
          </w:p>
        </w:tc>
      </w:tr>
      <w:tr w:rsidR="00D26075" w:rsidRPr="00531C55" w14:paraId="26C74123" w14:textId="77777777">
        <w:tc>
          <w:tcPr>
            <w:tcW w:w="750" w:type="dxa"/>
            <w:shd w:val="clear" w:color="auto" w:fill="FFFFFF"/>
            <w:noWrap/>
            <w:tcMar>
              <w:top w:w="75" w:type="dxa"/>
              <w:left w:w="75" w:type="dxa"/>
              <w:bottom w:w="75" w:type="dxa"/>
              <w:right w:w="75" w:type="dxa"/>
            </w:tcMar>
            <w:vAlign w:val="center"/>
          </w:tcPr>
          <w:p w14:paraId="6ABC25EF" w14:textId="77777777" w:rsidR="00D26075" w:rsidRPr="00531C55" w:rsidRDefault="00D607F3">
            <w:pPr>
              <w:jc w:val="center"/>
              <w:rPr>
                <w:sz w:val="24"/>
                <w:szCs w:val="24"/>
              </w:rPr>
            </w:pPr>
            <w:r w:rsidRPr="00531C55">
              <w:rPr>
                <w:sz w:val="24"/>
                <w:szCs w:val="24"/>
              </w:rPr>
              <w:lastRenderedPageBreak/>
              <w:t>3.</w:t>
            </w:r>
          </w:p>
        </w:tc>
        <w:tc>
          <w:tcPr>
            <w:tcW w:w="4055" w:type="dxa"/>
            <w:shd w:val="clear" w:color="auto" w:fill="FFFFFF"/>
            <w:noWrap/>
            <w:tcMar>
              <w:top w:w="75" w:type="dxa"/>
              <w:left w:w="75" w:type="dxa"/>
              <w:bottom w:w="75" w:type="dxa"/>
              <w:right w:w="75" w:type="dxa"/>
            </w:tcMar>
            <w:vAlign w:val="center"/>
          </w:tcPr>
          <w:p w14:paraId="4F0833DD" w14:textId="77777777" w:rsidR="00D26075" w:rsidRPr="00531C55" w:rsidRDefault="00D607F3">
            <w:pPr>
              <w:jc w:val="left"/>
              <w:rPr>
                <w:sz w:val="24"/>
                <w:szCs w:val="24"/>
              </w:rPr>
            </w:pPr>
            <w:r w:rsidRPr="00531C55">
              <w:rPr>
                <w:sz w:val="24"/>
                <w:szCs w:val="24"/>
              </w:rPr>
              <w:t>Latvijas Finanšu nozares asociācija, Jānis Brazovskis</w:t>
            </w:r>
          </w:p>
        </w:tc>
        <w:tc>
          <w:tcPr>
            <w:tcW w:w="4056" w:type="dxa"/>
            <w:shd w:val="clear" w:color="auto" w:fill="FFFFFF"/>
            <w:noWrap/>
            <w:tcMar>
              <w:top w:w="75" w:type="dxa"/>
              <w:left w:w="75" w:type="dxa"/>
              <w:bottom w:w="75" w:type="dxa"/>
              <w:right w:w="75" w:type="dxa"/>
            </w:tcMar>
            <w:vAlign w:val="center"/>
          </w:tcPr>
          <w:p w14:paraId="08BA90A9" w14:textId="77777777" w:rsidR="00D26075" w:rsidRPr="00531C55" w:rsidRDefault="00D607F3">
            <w:pPr>
              <w:jc w:val="left"/>
              <w:rPr>
                <w:sz w:val="24"/>
                <w:szCs w:val="24"/>
              </w:rPr>
            </w:pPr>
            <w:r w:rsidRPr="00531C55">
              <w:rPr>
                <w:sz w:val="24"/>
                <w:szCs w:val="24"/>
              </w:rPr>
              <w:t>Finanšu nozares asociācija (FNA) konceptuāli atbalsta Labklājības ministrijas centienus pilnveidot esošo pensiju sistēmu. Vienlaikus FNA ieskatā ziņojumā nav pietiekami skaidri definēta risināmā problēma. Mūsu izpratnē risināmā problēma ir tā, ka daļa pensionāru, sasniedzot pensijas vecumu, neraugoties uz ilgu darba stāžu, ir pakļauti nabadzības riskam zemā pensijas apmēra dēļ. Tādēļ ziņojumā būtu nepieciešams skaidri formulēt risināmo problēmu un tai pakārtot piedāvātos risinājumus.</w:t>
            </w:r>
            <w:r w:rsidRPr="00531C55">
              <w:rPr>
                <w:sz w:val="24"/>
                <w:szCs w:val="24"/>
              </w:rPr>
              <w:br/>
            </w:r>
            <w:r w:rsidRPr="00531C55">
              <w:rPr>
                <w:sz w:val="24"/>
                <w:szCs w:val="24"/>
              </w:rPr>
              <w:br/>
              <w:t xml:space="preserve">Ziņojums nerada pārliecību, ka piedāvātais risinājums nodrošina optimālu līdzsvaru starp pensiju sistēmas sociālo funkciju un finansiālo ilgtspēju. Piedāvājums paredz piemaksas visiem pensiju saņēmējiem </w:t>
            </w:r>
            <w:r w:rsidRPr="00531C55">
              <w:rPr>
                <w:sz w:val="24"/>
                <w:szCs w:val="24"/>
              </w:rPr>
              <w:lastRenderedPageBreak/>
              <w:t>neatkarīgi no pensijas apmēra, tādējādi pēc būtības ieviešot universālu atbalsta mehānismu. Šādai pieejai ir būtiska ilgtermiņa fiskālā ietekme, un tā var mazināt stimulus veidot privātos pensiju uzkrājumus. Papildus ziņojumā nav pietiekami skaidri identificēts risinājums adekvāta pensijas apmēra nodrošināšanai tiem iedzīvotājiem, kuriem nav pietiekama apdrošināšanas stāža.</w:t>
            </w:r>
            <w:r w:rsidRPr="00531C55">
              <w:rPr>
                <w:sz w:val="24"/>
                <w:szCs w:val="24"/>
              </w:rPr>
              <w:br/>
            </w:r>
            <w:r w:rsidRPr="00531C55">
              <w:rPr>
                <w:sz w:val="24"/>
                <w:szCs w:val="24"/>
              </w:rPr>
              <w:br/>
              <w:t>Lietderīgi būtu izvērtēt alternatīvus bāzes pensijas modeļus, kas paredz mērķētāku palīdzību finansiālo vājākajām pensionāru grupām, un vienlaikus rada mazāku fiskālu spiedienu uz budžetu, piemēram, bāzes pensiju var apsvērt noteikt kā procentu no valsts minimālās algas, vienlaikus apsverot, kā saglabāt motivāciju aktīvai dalībai darba tirgū un privāto pensijas uzkrājumu veidošanas.</w:t>
            </w:r>
            <w:r w:rsidRPr="00531C55">
              <w:rPr>
                <w:sz w:val="24"/>
                <w:szCs w:val="24"/>
              </w:rPr>
              <w:br/>
              <w:t>Ziņojumā paredzētais izdevumu pieaugums līdz gandrīz 1% no IKP ilgtermiņā ir būtisks, un tas jāvērtē kontekstā ar demogrāfiskajām tendencēm un ar novecošanu saistīto izdevumu pieaugumu citās jomās.</w:t>
            </w:r>
            <w:r w:rsidRPr="00531C55">
              <w:rPr>
                <w:sz w:val="24"/>
                <w:szCs w:val="24"/>
              </w:rPr>
              <w:br/>
            </w:r>
            <w:r w:rsidRPr="00531C55">
              <w:rPr>
                <w:sz w:val="24"/>
                <w:szCs w:val="24"/>
              </w:rPr>
              <w:br/>
              <w:t xml:space="preserve">Lai arī papildu atbalsts var uzlabot pensiju pietiekamību, piedāvātais </w:t>
            </w:r>
            <w:r w:rsidRPr="00531C55">
              <w:rPr>
                <w:sz w:val="24"/>
                <w:szCs w:val="24"/>
              </w:rPr>
              <w:lastRenderedPageBreak/>
              <w:t>risinājums (balstīts tikai uz apdrošināšanas stāžu) var vājināt saikni starp veiktajām sociālajām iemaksām un saņemtās pensijas apmēru. Šāda pieeja ilgtermiņā var mazināt iedzīvotāju motivāciju aktīvi veidot savus uzkrājumus vecumdienām, tai skaitā piedaloties pensiju 2. un 3. līmenī. Ilgtspējīga pensiju sistēma balstās ne tikai uz valsts nodrošinājumu, bet arī uz personīgo finanšu plānošanu un uzkrājumu veidošanu.</w:t>
            </w:r>
            <w:r w:rsidRPr="00531C55">
              <w:rPr>
                <w:sz w:val="24"/>
                <w:szCs w:val="24"/>
              </w:rPr>
              <w:br/>
            </w:r>
            <w:r w:rsidRPr="00531C55">
              <w:rPr>
                <w:sz w:val="24"/>
                <w:szCs w:val="24"/>
              </w:rPr>
              <w:br/>
              <w:t>Atbalstāma ir iecere stiprināt kopējo pensiju sistēmas pietiekamību, tomēr ziņojumā nepietiekami analizēta mijiedarbība ar pensiju 2. līmeni. Ņemot vērā, ka Latvijā jau pastāv uzkrājumu instruments demogrāfisko risku mazināšanai, jebkādas izmaiņas pensiju sistēmā nedrīkst mazināt pensiju 2. līmeņa nozīmi vai radīt signālus par tā sekundāru lomu. Ilgtspējīgai sistēmai ir jāstiprina uzkrājumu veidošana, nevis primāri jāpalielina no valsts budžeta finansēts atbalsts.</w:t>
            </w:r>
            <w:r w:rsidRPr="00531C55">
              <w:rPr>
                <w:sz w:val="24"/>
                <w:szCs w:val="24"/>
              </w:rPr>
              <w:br/>
            </w:r>
            <w:r w:rsidRPr="00531C55">
              <w:rPr>
                <w:sz w:val="24"/>
                <w:szCs w:val="24"/>
              </w:rPr>
              <w:br/>
              <w:t xml:space="preserve">Lai gan sākotnējā pieeja uzsākt atbalstu ar vecāko iedzīvotāju grupu (85+) ir saprotama, piedāvātā pakāpeniskā paplašināšana nozīmē, ka ilgtermiņā šis instruments kļūst universāls. Līdz ar to </w:t>
            </w:r>
            <w:r w:rsidRPr="00531C55">
              <w:rPr>
                <w:sz w:val="24"/>
                <w:szCs w:val="24"/>
              </w:rPr>
              <w:lastRenderedPageBreak/>
              <w:t>nepieciešams izvērtēt, vai šāds universāls risinājums ir efektīvākais veids, kā sasniegt pensiju pietiekamības mērķus. Vienlaikus FNA ieskatā nepieciešams turpināt attīstīt esošos pensiju līmeņus, īpaši fokusējoties uz pensiju 2. un 3. līmeņa pilnveidi, tostarp izmaksu risinājumu attīstību un jau uzsākto iniciatīvu turpināšanu. Ilgtspējīga pieeja paredz sistēmas attīstību, kur pietiekamības jautājumi tiek risināti līdzsvaroti gan ar mērķētu atbalstu, gan stiprinot iedzīvotāju uzkrājumu veidošanu un to efektīvu izmantošanu vecumdienās.</w:t>
            </w:r>
            <w:r w:rsidRPr="00531C55">
              <w:rPr>
                <w:sz w:val="24"/>
                <w:szCs w:val="24"/>
              </w:rPr>
              <w:br/>
            </w:r>
            <w:r w:rsidRPr="00531C55">
              <w:rPr>
                <w:sz w:val="24"/>
                <w:szCs w:val="24"/>
              </w:rPr>
              <w:br/>
              <w:t>FNA uzskata, ka pensiju sistēmas pilnveide ir nepieciešama un konceptuāli virziens uz pietiekamības uzlabošanu ir atbalstāms. Vienlaikus piedāvātais “bāzes pensijas” modelis pašreizējā formā rada būtiskus riskus fiskālajai ilgtspējai un nav mērķēts uz finansiāli ievainojamākām pensionāru grupām.  Pirms virzības uz priekšu nepieciešama vairāku alternatīvu izvērtējums un skaidra stratēģija, kā saglabāt līdzsvaru starp pietiekamību un sistēmas ilgtspēju.</w:t>
            </w:r>
            <w:r w:rsidRPr="00531C55">
              <w:rPr>
                <w:sz w:val="24"/>
                <w:szCs w:val="24"/>
              </w:rPr>
              <w:br/>
            </w:r>
          </w:p>
        </w:tc>
        <w:tc>
          <w:tcPr>
            <w:tcW w:w="1650" w:type="dxa"/>
            <w:shd w:val="clear" w:color="auto" w:fill="FFFFFF"/>
            <w:noWrap/>
            <w:tcMar>
              <w:top w:w="75" w:type="dxa"/>
              <w:left w:w="75" w:type="dxa"/>
              <w:bottom w:w="75" w:type="dxa"/>
              <w:right w:w="75" w:type="dxa"/>
            </w:tcMar>
            <w:vAlign w:val="center"/>
          </w:tcPr>
          <w:p w14:paraId="784C6208" w14:textId="77777777" w:rsidR="00D26075" w:rsidRPr="00531C55" w:rsidRDefault="000C7451">
            <w:pPr>
              <w:jc w:val="left"/>
              <w:rPr>
                <w:sz w:val="24"/>
                <w:szCs w:val="24"/>
              </w:rPr>
            </w:pPr>
            <w:r w:rsidRPr="00531C55">
              <w:rPr>
                <w:sz w:val="24"/>
                <w:szCs w:val="24"/>
              </w:rPr>
              <w:lastRenderedPageBreak/>
              <w:t>Ņemts vērā daļēji</w:t>
            </w:r>
          </w:p>
        </w:tc>
        <w:tc>
          <w:tcPr>
            <w:tcW w:w="4056" w:type="dxa"/>
            <w:shd w:val="clear" w:color="auto" w:fill="FFFFFF"/>
            <w:noWrap/>
            <w:tcMar>
              <w:top w:w="75" w:type="dxa"/>
              <w:left w:w="75" w:type="dxa"/>
              <w:bottom w:w="75" w:type="dxa"/>
              <w:right w:w="75" w:type="dxa"/>
            </w:tcMar>
            <w:vAlign w:val="center"/>
          </w:tcPr>
          <w:p w14:paraId="2559C76A" w14:textId="77777777" w:rsidR="00D26075" w:rsidRPr="00531C55" w:rsidRDefault="000C7451" w:rsidP="000C7451">
            <w:pPr>
              <w:rPr>
                <w:color w:val="auto"/>
                <w:sz w:val="24"/>
                <w:szCs w:val="24"/>
              </w:rPr>
            </w:pPr>
            <w:r w:rsidRPr="00531C55">
              <w:rPr>
                <w:color w:val="auto"/>
                <w:sz w:val="24"/>
                <w:szCs w:val="24"/>
              </w:rPr>
              <w:t xml:space="preserve">Piekrītam, ka nepieciešams turpināt attīstīt esošos pensiju līmeņus, īpaši pievēršot uzmanību pensiju 2.līmeņa izmaksu fāzes piedāvājumiem. </w:t>
            </w:r>
          </w:p>
          <w:p w14:paraId="004406C0" w14:textId="77777777" w:rsidR="000C7451" w:rsidRPr="00531C55" w:rsidRDefault="000C7451" w:rsidP="000C7451">
            <w:pPr>
              <w:spacing w:line="300" w:lineRule="atLeast"/>
              <w:rPr>
                <w:color w:val="auto"/>
                <w:sz w:val="24"/>
                <w:szCs w:val="24"/>
              </w:rPr>
            </w:pPr>
            <w:r w:rsidRPr="00531C55">
              <w:rPr>
                <w:color w:val="auto"/>
                <w:sz w:val="24"/>
                <w:szCs w:val="24"/>
              </w:rPr>
              <w:t>Šobrīd Labklājības ministrija un Latvijas Banka sadarbībā ar Finanšu ministriju un iesaistot finanšu tirgus dalībniekus strādā pie papildu variantiem pensiju 2.līmeņa uzkrātā kapitāla izmantošanai un vienlaikus arī turpmākai aktīvai dalībai finanšu tirgū. Tiek strādāts pie šādiem risinājumiem:</w:t>
            </w:r>
          </w:p>
          <w:p w14:paraId="4CC3B40A" w14:textId="77777777" w:rsidR="000C7451" w:rsidRPr="00531C55" w:rsidRDefault="000C7451" w:rsidP="000C7451">
            <w:pPr>
              <w:pStyle w:val="ListParagraph"/>
              <w:spacing w:line="300" w:lineRule="atLeast"/>
              <w:ind w:left="360"/>
              <w:jc w:val="both"/>
              <w:rPr>
                <w:rFonts w:ascii="Times New Roman" w:hAnsi="Times New Roman" w:cs="Times New Roman"/>
                <w:sz w:val="24"/>
                <w:szCs w:val="24"/>
                <w:lang w:eastAsia="lv-LV"/>
              </w:rPr>
            </w:pPr>
          </w:p>
          <w:p w14:paraId="0ADEB7A2" w14:textId="77777777" w:rsidR="000C7451" w:rsidRPr="00531C55" w:rsidRDefault="000C7451" w:rsidP="000C7451">
            <w:pPr>
              <w:pStyle w:val="ListParagraph"/>
              <w:numPr>
                <w:ilvl w:val="0"/>
                <w:numId w:val="3"/>
              </w:numPr>
              <w:spacing w:before="100" w:beforeAutospacing="1" w:after="100" w:afterAutospacing="1" w:line="300" w:lineRule="atLeast"/>
              <w:jc w:val="both"/>
              <w:rPr>
                <w:rFonts w:ascii="Times New Roman" w:eastAsia="Times New Roman" w:hAnsi="Times New Roman" w:cs="Times New Roman"/>
                <w:sz w:val="24"/>
                <w:szCs w:val="24"/>
                <w:lang w:eastAsia="lv-LV"/>
              </w:rPr>
            </w:pPr>
            <w:r w:rsidRPr="00531C55">
              <w:rPr>
                <w:rFonts w:ascii="Times New Roman" w:eastAsia="Times New Roman" w:hAnsi="Times New Roman" w:cs="Times New Roman"/>
                <w:bCs/>
                <w:sz w:val="24"/>
                <w:szCs w:val="24"/>
                <w:lang w:eastAsia="lv-LV"/>
              </w:rPr>
              <w:t>Mūža pensija ar piesaiste finanšu tirgum, kas paredz, ka p</w:t>
            </w:r>
            <w:r w:rsidRPr="00531C55">
              <w:rPr>
                <w:rFonts w:ascii="Times New Roman" w:eastAsia="Times New Roman" w:hAnsi="Times New Roman" w:cs="Times New Roman"/>
                <w:sz w:val="24"/>
                <w:szCs w:val="24"/>
                <w:lang w:eastAsia="lv-LV"/>
              </w:rPr>
              <w:t xml:space="preserve">ensijas izmaksas tiek veiktas </w:t>
            </w:r>
            <w:r w:rsidRPr="00531C55">
              <w:rPr>
                <w:rFonts w:ascii="Times New Roman" w:eastAsia="Times New Roman" w:hAnsi="Times New Roman" w:cs="Times New Roman"/>
                <w:bCs/>
                <w:sz w:val="24"/>
                <w:szCs w:val="24"/>
                <w:lang w:eastAsia="lv-LV"/>
              </w:rPr>
              <w:t>pa daļām</w:t>
            </w:r>
            <w:r w:rsidRPr="00531C55">
              <w:rPr>
                <w:rFonts w:ascii="Times New Roman" w:eastAsia="Times New Roman" w:hAnsi="Times New Roman" w:cs="Times New Roman"/>
                <w:sz w:val="24"/>
                <w:szCs w:val="24"/>
                <w:lang w:eastAsia="lv-LV"/>
              </w:rPr>
              <w:t xml:space="preserve">, katru reizi </w:t>
            </w:r>
            <w:r w:rsidRPr="00531C55">
              <w:rPr>
                <w:rFonts w:ascii="Times New Roman" w:eastAsia="Times New Roman" w:hAnsi="Times New Roman" w:cs="Times New Roman"/>
                <w:bCs/>
                <w:sz w:val="24"/>
                <w:szCs w:val="24"/>
                <w:lang w:eastAsia="lv-LV"/>
              </w:rPr>
              <w:t>samazinot uzkrāto kapitālu</w:t>
            </w:r>
            <w:r w:rsidRPr="00531C55">
              <w:rPr>
                <w:rFonts w:ascii="Times New Roman" w:eastAsia="Times New Roman" w:hAnsi="Times New Roman" w:cs="Times New Roman"/>
                <w:sz w:val="24"/>
                <w:szCs w:val="24"/>
                <w:lang w:eastAsia="lv-LV"/>
              </w:rPr>
              <w:t xml:space="preserve">, tomēr kapitāls turpina tikt ieguldīts </w:t>
            </w:r>
            <w:r w:rsidRPr="00531C55">
              <w:rPr>
                <w:rFonts w:ascii="Times New Roman" w:eastAsia="Times New Roman" w:hAnsi="Times New Roman" w:cs="Times New Roman"/>
                <w:bCs/>
                <w:sz w:val="24"/>
                <w:szCs w:val="24"/>
                <w:lang w:eastAsia="lv-LV"/>
              </w:rPr>
              <w:t>finanšu tirgos</w:t>
            </w:r>
            <w:r w:rsidRPr="00531C55">
              <w:rPr>
                <w:rFonts w:ascii="Times New Roman" w:eastAsia="Times New Roman" w:hAnsi="Times New Roman" w:cs="Times New Roman"/>
                <w:sz w:val="24"/>
                <w:szCs w:val="24"/>
                <w:lang w:eastAsia="lv-LV"/>
              </w:rPr>
              <w:t xml:space="preserve">. Attiecīgi pensijas </w:t>
            </w:r>
            <w:r w:rsidRPr="00531C55">
              <w:rPr>
                <w:rFonts w:ascii="Times New Roman" w:eastAsia="Times New Roman" w:hAnsi="Times New Roman" w:cs="Times New Roman"/>
                <w:sz w:val="24"/>
                <w:szCs w:val="24"/>
                <w:lang w:eastAsia="lv-LV"/>
              </w:rPr>
              <w:lastRenderedPageBreak/>
              <w:t xml:space="preserve">daļas izmaksa ir </w:t>
            </w:r>
            <w:r w:rsidRPr="00531C55">
              <w:rPr>
                <w:rFonts w:ascii="Times New Roman" w:eastAsia="Times New Roman" w:hAnsi="Times New Roman" w:cs="Times New Roman"/>
                <w:bCs/>
                <w:sz w:val="24"/>
                <w:szCs w:val="24"/>
                <w:lang w:eastAsia="lv-LV"/>
              </w:rPr>
              <w:t xml:space="preserve">tieši atkarīga no tirgus svārstībām. </w:t>
            </w:r>
            <w:r w:rsidRPr="00531C55">
              <w:rPr>
                <w:rFonts w:ascii="Times New Roman" w:eastAsia="Times New Roman" w:hAnsi="Times New Roman" w:cs="Times New Roman"/>
                <w:sz w:val="24"/>
                <w:szCs w:val="24"/>
                <w:lang w:eastAsia="lv-LV"/>
              </w:rPr>
              <w:t>Izmaksu veic mūža pensijas polises apsaimniekotājs.</w:t>
            </w:r>
          </w:p>
          <w:p w14:paraId="1D37751B" w14:textId="77777777" w:rsidR="000C7451" w:rsidRPr="00531C55" w:rsidRDefault="000C7451" w:rsidP="000C7451">
            <w:pPr>
              <w:pStyle w:val="ListParagraph"/>
              <w:spacing w:before="100" w:beforeAutospacing="1" w:after="100" w:afterAutospacing="1" w:line="300" w:lineRule="atLeast"/>
              <w:ind w:left="360"/>
              <w:jc w:val="both"/>
              <w:rPr>
                <w:rFonts w:ascii="Times New Roman" w:hAnsi="Times New Roman" w:cs="Times New Roman"/>
                <w:sz w:val="24"/>
                <w:szCs w:val="24"/>
                <w:lang w:eastAsia="lv-LV"/>
              </w:rPr>
            </w:pPr>
          </w:p>
          <w:p w14:paraId="73944993" w14:textId="77777777" w:rsidR="000C7451" w:rsidRPr="00531C55" w:rsidRDefault="000C7451" w:rsidP="000C7451">
            <w:pPr>
              <w:pStyle w:val="ListParagraph"/>
              <w:numPr>
                <w:ilvl w:val="0"/>
                <w:numId w:val="3"/>
              </w:numPr>
              <w:spacing w:before="100" w:beforeAutospacing="1" w:after="100" w:afterAutospacing="1" w:line="300" w:lineRule="atLeast"/>
              <w:jc w:val="both"/>
              <w:rPr>
                <w:rFonts w:ascii="Times New Roman" w:eastAsia="Times New Roman" w:hAnsi="Times New Roman" w:cs="Times New Roman"/>
                <w:sz w:val="24"/>
                <w:szCs w:val="24"/>
                <w:lang w:eastAsia="lv-LV"/>
              </w:rPr>
            </w:pPr>
            <w:r w:rsidRPr="00531C55">
              <w:rPr>
                <w:rFonts w:ascii="Times New Roman" w:eastAsia="Times New Roman" w:hAnsi="Times New Roman" w:cs="Times New Roman"/>
                <w:bCs/>
                <w:sz w:val="24"/>
                <w:szCs w:val="24"/>
                <w:lang w:eastAsia="lv-LV"/>
              </w:rPr>
              <w:t xml:space="preserve">Uzkrātā kapitāla izmaksa pa daļām, kas paredz, ka </w:t>
            </w:r>
            <w:r w:rsidRPr="00531C55">
              <w:rPr>
                <w:rFonts w:ascii="Times New Roman" w:eastAsia="Times New Roman" w:hAnsi="Times New Roman" w:cs="Times New Roman"/>
                <w:sz w:val="24"/>
                <w:szCs w:val="24"/>
                <w:lang w:eastAsia="lv-LV"/>
              </w:rPr>
              <w:t xml:space="preserve">VSAA turpina pārvaldīt kapitālu valsts fondēto pensiju sistēmas ietvarā, un izmaksas tiek veiktas </w:t>
            </w:r>
            <w:r w:rsidRPr="00531C55">
              <w:rPr>
                <w:rFonts w:ascii="Times New Roman" w:eastAsia="Times New Roman" w:hAnsi="Times New Roman" w:cs="Times New Roman"/>
                <w:bCs/>
                <w:sz w:val="24"/>
                <w:szCs w:val="24"/>
                <w:lang w:eastAsia="lv-LV"/>
              </w:rPr>
              <w:t>katru gadu pa daļām</w:t>
            </w:r>
            <w:r w:rsidRPr="00531C55">
              <w:rPr>
                <w:rFonts w:ascii="Times New Roman" w:eastAsia="Times New Roman" w:hAnsi="Times New Roman" w:cs="Times New Roman"/>
                <w:sz w:val="24"/>
                <w:szCs w:val="24"/>
                <w:lang w:eastAsia="lv-LV"/>
              </w:rPr>
              <w:t xml:space="preserve">, aprēķinot nākamā gada izmaksājamo summu. Kapitāls </w:t>
            </w:r>
            <w:r w:rsidRPr="00531C55">
              <w:rPr>
                <w:rFonts w:ascii="Times New Roman" w:eastAsia="Times New Roman" w:hAnsi="Times New Roman" w:cs="Times New Roman"/>
                <w:bCs/>
                <w:sz w:val="24"/>
                <w:szCs w:val="24"/>
                <w:lang w:eastAsia="lv-LV"/>
              </w:rPr>
              <w:t>turpina pelnīt</w:t>
            </w:r>
            <w:r w:rsidRPr="00531C55">
              <w:rPr>
                <w:rFonts w:ascii="Times New Roman" w:eastAsia="Times New Roman" w:hAnsi="Times New Roman" w:cs="Times New Roman"/>
                <w:sz w:val="24"/>
                <w:szCs w:val="24"/>
                <w:lang w:eastAsia="lv-LV"/>
              </w:rPr>
              <w:t xml:space="preserve"> VFPS sistēmā. Izmaksas summa, mainās atbilstoši tirgus rezultātiem.</w:t>
            </w:r>
          </w:p>
          <w:p w14:paraId="1AD77228" w14:textId="77777777" w:rsidR="000C7451" w:rsidRPr="00531C55" w:rsidRDefault="000C7451" w:rsidP="000C7451">
            <w:pPr>
              <w:pStyle w:val="ListParagraph"/>
              <w:jc w:val="both"/>
              <w:rPr>
                <w:rFonts w:ascii="Times New Roman" w:hAnsi="Times New Roman" w:cs="Times New Roman"/>
                <w:sz w:val="24"/>
                <w:szCs w:val="24"/>
                <w:lang w:eastAsia="lv-LV"/>
              </w:rPr>
            </w:pPr>
          </w:p>
          <w:p w14:paraId="564335C8" w14:textId="77777777" w:rsidR="000C7451" w:rsidRPr="00531C55" w:rsidRDefault="000C7451" w:rsidP="000C7451">
            <w:pPr>
              <w:pStyle w:val="ListParagraph"/>
              <w:ind w:left="142"/>
              <w:jc w:val="both"/>
              <w:rPr>
                <w:rFonts w:ascii="Times New Roman" w:hAnsi="Times New Roman" w:cs="Times New Roman"/>
                <w:sz w:val="24"/>
                <w:szCs w:val="24"/>
                <w:lang w:eastAsia="lv-LV"/>
              </w:rPr>
            </w:pPr>
            <w:r w:rsidRPr="00531C55">
              <w:rPr>
                <w:rFonts w:ascii="Times New Roman" w:hAnsi="Times New Roman" w:cs="Times New Roman"/>
                <w:sz w:val="24"/>
                <w:szCs w:val="24"/>
                <w:lang w:eastAsia="lv-LV"/>
              </w:rPr>
              <w:t>Šie risinājumi pagaidām neaizvietos esošos risinājumus, cilvēkiem joprojām būs iespēja pievienot fondēto pensiju kapitālu pie pensiju 1. līmeņa un neturpināt dalību finanšu tirgos. Tāpat tiks piedāvāta arī iespēja par pensiju 2. līmeņa kapitāla pievienošanu 1. līmenim piecu gadu laikā pirms pensionēšanās vecuma iestāšanās. Visi varianti ir sākotnēji jau diskutēti ar finanšu nozari, tomēr notiks arī turpmākās sarunas, strādājot jau pie konkrētiem tiesību aktu grozījumiem.</w:t>
            </w:r>
          </w:p>
          <w:p w14:paraId="6B731DE8" w14:textId="77777777" w:rsidR="000C7451" w:rsidRPr="00531C55" w:rsidRDefault="000C7451" w:rsidP="000C7451">
            <w:pPr>
              <w:rPr>
                <w:sz w:val="24"/>
                <w:szCs w:val="24"/>
              </w:rPr>
            </w:pPr>
            <w:r w:rsidRPr="00531C55">
              <w:rPr>
                <w:color w:val="000000"/>
                <w:sz w:val="24"/>
                <w:szCs w:val="24"/>
              </w:rPr>
              <w:lastRenderedPageBreak/>
              <w:t>Ņemot vērā kopumā zemos pensiju apmērus un to prognozēto vēl zemāku atvietojuma līmeni nākotnē</w:t>
            </w:r>
            <w:r w:rsidR="00071D7A">
              <w:rPr>
                <w:color w:val="000000"/>
                <w:sz w:val="24"/>
                <w:szCs w:val="24"/>
              </w:rPr>
              <w:t xml:space="preserve"> (1.un 2.līmenis kopā)</w:t>
            </w:r>
            <w:r w:rsidRPr="00531C55">
              <w:rPr>
                <w:color w:val="000000"/>
                <w:sz w:val="24"/>
                <w:szCs w:val="24"/>
              </w:rPr>
              <w:t xml:space="preserve">, vienlaikus ir nepieciešams virzīties uz “bāzes pensijas” noteikšanu visiem vecuma pensijas </w:t>
            </w:r>
            <w:r w:rsidRPr="00531C55">
              <w:rPr>
                <w:sz w:val="24"/>
                <w:szCs w:val="24"/>
              </w:rPr>
              <w:t xml:space="preserve">saņēmējiem. Bāzes pensija ieviesta gan Igaunijā, gan Lietuvā, taču katrā valstī ir rasts savs, pieņemamākais risinājums. </w:t>
            </w:r>
          </w:p>
          <w:p w14:paraId="3A4F4ED5" w14:textId="77777777" w:rsidR="000C7451" w:rsidRPr="00531C55" w:rsidRDefault="000C7451" w:rsidP="000C7451">
            <w:pPr>
              <w:spacing w:after="120"/>
              <w:rPr>
                <w:sz w:val="24"/>
                <w:szCs w:val="24"/>
              </w:rPr>
            </w:pPr>
            <w:r w:rsidRPr="00531C55">
              <w:rPr>
                <w:bCs/>
                <w:sz w:val="24"/>
                <w:szCs w:val="24"/>
              </w:rPr>
              <w:t>Lai palielinātu pensiju adekvātumu</w:t>
            </w:r>
            <w:r w:rsidRPr="00531C55">
              <w:rPr>
                <w:sz w:val="24"/>
                <w:szCs w:val="24"/>
              </w:rPr>
              <w:t>, 2026. gadā nepieciešams pieņemt lēmumu par “bāzes pensijas” ieviešanu no 2027. gada noteiktai personu grupai, piemēram, senioriem vecumā 85+, savukārt pārējiem piešķirt pakāpeniski. “</w:t>
            </w:r>
            <w:r w:rsidRPr="00531C55">
              <w:rPr>
                <w:bCs/>
                <w:sz w:val="24"/>
                <w:szCs w:val="24"/>
              </w:rPr>
              <w:t>Bāzes pensija”</w:t>
            </w:r>
            <w:r w:rsidRPr="00531C55">
              <w:rPr>
                <w:sz w:val="24"/>
                <w:szCs w:val="24"/>
              </w:rPr>
              <w:t xml:space="preserve"> būtu regulārs ikmēneša maksājums, kas no valsts pamatbudžeta līdzekļiem izmaksājams papildus no valsts sociālās apdrošināšanas iemaksām aprēķinātajai vecuma pensijai. Bāzes pensija tiktu izmaksāta visiem vecuma pensijas saņēmējiem</w:t>
            </w:r>
            <w:r w:rsidR="00071D7A">
              <w:rPr>
                <w:sz w:val="24"/>
                <w:szCs w:val="24"/>
              </w:rPr>
              <w:t xml:space="preserve"> un tā būtu papildus no sociālās apdrošināšanas iemaksām aprēķinātajai pensijai.</w:t>
            </w:r>
          </w:p>
          <w:p w14:paraId="0F901D78" w14:textId="77777777" w:rsidR="000C7451" w:rsidRPr="00531C55" w:rsidRDefault="000C7451" w:rsidP="000C7451">
            <w:pPr>
              <w:rPr>
                <w:color w:val="auto"/>
                <w:sz w:val="24"/>
                <w:szCs w:val="24"/>
              </w:rPr>
            </w:pPr>
          </w:p>
        </w:tc>
      </w:tr>
      <w:tr w:rsidR="000C7451" w:rsidRPr="00531C55" w14:paraId="455D17EE" w14:textId="77777777" w:rsidTr="004F79A2">
        <w:tc>
          <w:tcPr>
            <w:tcW w:w="750" w:type="dxa"/>
            <w:shd w:val="clear" w:color="auto" w:fill="FFFFFF"/>
            <w:noWrap/>
            <w:tcMar>
              <w:top w:w="75" w:type="dxa"/>
              <w:left w:w="75" w:type="dxa"/>
              <w:bottom w:w="75" w:type="dxa"/>
              <w:right w:w="75" w:type="dxa"/>
            </w:tcMar>
            <w:vAlign w:val="center"/>
          </w:tcPr>
          <w:p w14:paraId="451AAC90" w14:textId="77777777" w:rsidR="000C7451" w:rsidRPr="00531C55" w:rsidRDefault="000C7451" w:rsidP="000C7451">
            <w:pPr>
              <w:jc w:val="center"/>
              <w:rPr>
                <w:sz w:val="24"/>
                <w:szCs w:val="24"/>
              </w:rPr>
            </w:pPr>
          </w:p>
        </w:tc>
        <w:tc>
          <w:tcPr>
            <w:tcW w:w="4055" w:type="dxa"/>
            <w:shd w:val="clear" w:color="auto" w:fill="FFFFFF"/>
            <w:noWrap/>
            <w:tcMar>
              <w:top w:w="75" w:type="dxa"/>
              <w:left w:w="75" w:type="dxa"/>
              <w:bottom w:w="75" w:type="dxa"/>
              <w:right w:w="75" w:type="dxa"/>
            </w:tcMar>
          </w:tcPr>
          <w:p w14:paraId="2B5AE9C7" w14:textId="77777777" w:rsidR="000C7451" w:rsidRPr="00531C55" w:rsidRDefault="000C7451" w:rsidP="000C7451">
            <w:pPr>
              <w:rPr>
                <w:b/>
                <w:bCs/>
                <w:color w:val="auto"/>
                <w:sz w:val="24"/>
                <w:szCs w:val="24"/>
              </w:rPr>
            </w:pPr>
            <w:r w:rsidRPr="00531C55">
              <w:rPr>
                <w:b/>
                <w:bCs/>
                <w:color w:val="auto"/>
                <w:sz w:val="24"/>
                <w:szCs w:val="24"/>
              </w:rPr>
              <w:t xml:space="preserve">Latvijas Daudzbērnu ģimeņu apvienība  </w:t>
            </w:r>
          </w:p>
          <w:p w14:paraId="59C74C7C" w14:textId="77777777" w:rsidR="000C7451" w:rsidRPr="00531C55" w:rsidRDefault="000C7451" w:rsidP="000C7451">
            <w:pPr>
              <w:ind w:firstLine="720"/>
              <w:rPr>
                <w:color w:val="auto"/>
                <w:sz w:val="24"/>
                <w:szCs w:val="24"/>
              </w:rPr>
            </w:pPr>
          </w:p>
          <w:p w14:paraId="4DCE1F0B" w14:textId="77777777" w:rsidR="000C7451" w:rsidRPr="00531C55" w:rsidRDefault="000C7451" w:rsidP="000C7451">
            <w:pPr>
              <w:ind w:firstLine="720"/>
              <w:rPr>
                <w:b/>
                <w:color w:val="auto"/>
                <w:sz w:val="24"/>
                <w:szCs w:val="24"/>
              </w:rPr>
            </w:pPr>
          </w:p>
        </w:tc>
        <w:tc>
          <w:tcPr>
            <w:tcW w:w="4056" w:type="dxa"/>
            <w:shd w:val="clear" w:color="auto" w:fill="FFFFFF"/>
            <w:noWrap/>
            <w:tcMar>
              <w:top w:w="75" w:type="dxa"/>
              <w:left w:w="75" w:type="dxa"/>
              <w:bottom w:w="75" w:type="dxa"/>
              <w:right w:w="75" w:type="dxa"/>
            </w:tcMar>
          </w:tcPr>
          <w:p w14:paraId="7789B558" w14:textId="77777777" w:rsidR="000C7451" w:rsidRPr="00531C55" w:rsidRDefault="000C7451" w:rsidP="000C7451">
            <w:pPr>
              <w:ind w:firstLine="720"/>
              <w:rPr>
                <w:b/>
                <w:bCs/>
                <w:color w:val="auto"/>
                <w:sz w:val="24"/>
                <w:szCs w:val="24"/>
              </w:rPr>
            </w:pPr>
            <w:r w:rsidRPr="00531C55">
              <w:rPr>
                <w:b/>
                <w:bCs/>
                <w:color w:val="auto"/>
                <w:sz w:val="24"/>
                <w:szCs w:val="24"/>
              </w:rPr>
              <w:lastRenderedPageBreak/>
              <w:t>Iebildums</w:t>
            </w:r>
          </w:p>
          <w:p w14:paraId="78FEF4B1" w14:textId="77777777" w:rsidR="000C7451" w:rsidRPr="00531C55" w:rsidRDefault="000C7451" w:rsidP="000C7451">
            <w:pPr>
              <w:ind w:firstLine="720"/>
              <w:rPr>
                <w:color w:val="auto"/>
                <w:sz w:val="24"/>
                <w:szCs w:val="24"/>
              </w:rPr>
            </w:pPr>
            <w:r w:rsidRPr="00531C55">
              <w:rPr>
                <w:color w:val="auto"/>
                <w:sz w:val="24"/>
                <w:szCs w:val="24"/>
              </w:rPr>
              <w:lastRenderedPageBreak/>
              <w:t>Iebilst pret tā tālāku virzību LM piedāvātajā redakcijā.</w:t>
            </w:r>
          </w:p>
          <w:p w14:paraId="67FE10BA" w14:textId="77777777" w:rsidR="000C7451" w:rsidRPr="00531C55" w:rsidRDefault="000C7451" w:rsidP="000C7451">
            <w:pPr>
              <w:ind w:firstLine="720"/>
              <w:rPr>
                <w:b/>
                <w:color w:val="auto"/>
                <w:sz w:val="24"/>
                <w:szCs w:val="24"/>
              </w:rPr>
            </w:pPr>
            <w:r w:rsidRPr="00531C55">
              <w:rPr>
                <w:b/>
                <w:color w:val="auto"/>
                <w:sz w:val="24"/>
                <w:szCs w:val="24"/>
              </w:rPr>
              <w:t xml:space="preserve">Pamatojums </w:t>
            </w:r>
          </w:p>
          <w:p w14:paraId="18D4951A" w14:textId="77777777" w:rsidR="000C7451" w:rsidRPr="00531C55" w:rsidRDefault="000C7451" w:rsidP="000C7451">
            <w:pPr>
              <w:ind w:firstLine="720"/>
              <w:rPr>
                <w:color w:val="auto"/>
                <w:sz w:val="24"/>
                <w:szCs w:val="24"/>
              </w:rPr>
            </w:pPr>
            <w:r w:rsidRPr="00531C55">
              <w:rPr>
                <w:color w:val="auto"/>
                <w:sz w:val="24"/>
                <w:szCs w:val="24"/>
              </w:rPr>
              <w:t>Projekts nerisina vienu no esošās pensiju sistēmas lielākajām netaisnībām un proti: sievietes, kuras ir uzaudzinājušas bērnus, tādā veidā sniedzot lielāko ieguldījumu pensiju sistēmas ilgtspējas nodrošināšanā, saņem vismazākās pensijas vai vispār paliek bez pensijas, tostarp arī tādēļ, ka Labklājības ministrija konsekventi atsakās ieskaitīt apdrošināšanas stāžā laiku, kurā sievietes nestrādā, jo audzina bērnus līdz 1,5 gada vecumam.</w:t>
            </w:r>
          </w:p>
          <w:p w14:paraId="2E68BEA5" w14:textId="77777777" w:rsidR="000C7451" w:rsidRPr="00531C55" w:rsidRDefault="000C7451" w:rsidP="000C7451">
            <w:pPr>
              <w:ind w:firstLine="720"/>
              <w:rPr>
                <w:color w:val="auto"/>
                <w:sz w:val="24"/>
                <w:szCs w:val="24"/>
              </w:rPr>
            </w:pPr>
            <w:r w:rsidRPr="00531C55">
              <w:rPr>
                <w:color w:val="auto"/>
                <w:sz w:val="24"/>
                <w:szCs w:val="24"/>
              </w:rPr>
              <w:t>Saskaņā ar Valsts sociālās apdrošināšanas aģentūras datiem līdz pat 80% sieviešu, kuras periodā no 1991.gada 1.janvāra līdz 1995.gada 31.decembrim audzināja bērnu līdz 1,5 gada vecumam, varētu būt neieskaitīts apdrošināšanas stāžs.</w:t>
            </w:r>
          </w:p>
          <w:p w14:paraId="03667C43" w14:textId="77777777" w:rsidR="000C7451" w:rsidRPr="00531C55" w:rsidRDefault="000C7451" w:rsidP="000C7451">
            <w:pPr>
              <w:ind w:firstLine="720"/>
              <w:rPr>
                <w:color w:val="auto"/>
                <w:sz w:val="24"/>
                <w:szCs w:val="24"/>
              </w:rPr>
            </w:pPr>
            <w:r w:rsidRPr="00531C55">
              <w:rPr>
                <w:color w:val="auto"/>
                <w:sz w:val="24"/>
                <w:szCs w:val="24"/>
              </w:rPr>
              <w:t xml:space="preserve">Kopš 2013.gada bērnu kopšanas pabalsta un vecāku pabalsta reformas ik gadu pieaug to sieviešu skaits, kuras nestrādā, jo kopj bērnu līdz 1,5 gada vecumam, bet strādājoši bērnu tēvi ir bērnu kopšanas pabalsta un vecāku pabalsta saņēmēji (jo abi pabalsti piespiedu kārtā ir jāsaņem kopā vienai personai), attiecīgi par sievietēm šajā laika posmā nav tikušas veiktas iemaksas </w:t>
            </w:r>
            <w:r w:rsidRPr="00531C55">
              <w:rPr>
                <w:color w:val="auto"/>
                <w:sz w:val="24"/>
                <w:szCs w:val="24"/>
              </w:rPr>
              <w:lastRenderedPageBreak/>
              <w:t>pensiju kapitālā, kā arī tām, kuras tajā periodā nav darba ņēmēja statusā, bērna kopšanas periods netiek ieskaitīts apdrošināšanas stāžā. 2025.gadā tās bija aptuveni 17% no visām sievietēm, kas laida pasaulē bērnus.</w:t>
            </w:r>
          </w:p>
          <w:p w14:paraId="0DB9D249" w14:textId="77777777" w:rsidR="000C7451" w:rsidRPr="00531C55" w:rsidRDefault="000C7451" w:rsidP="000C7451">
            <w:pPr>
              <w:ind w:firstLine="720"/>
              <w:rPr>
                <w:color w:val="auto"/>
                <w:sz w:val="24"/>
                <w:szCs w:val="24"/>
              </w:rPr>
            </w:pPr>
            <w:r w:rsidRPr="00531C55">
              <w:rPr>
                <w:color w:val="auto"/>
                <w:sz w:val="24"/>
                <w:szCs w:val="24"/>
              </w:rPr>
              <w:t xml:space="preserve">Pensiju samazinājums sievietēm par bērnu aprūpes periodu ir arī tādēļ, ka bērna kopšanas periodā arī par tām sievietēm, kas bija bērnu kopšanas pabalsta un vecāku pabalsta saņēmējas, valsts neievēroja pašas pieņemtā likuma “Par valsts sociālo apdrošināšanu” noteikto minimālo iemaksu objektu un ilgstoši veica sociālās apdrošināšanas iemaksas no neadekvāti zema iemaksu objekta. </w:t>
            </w:r>
          </w:p>
          <w:p w14:paraId="2CC4F9FC" w14:textId="77777777" w:rsidR="000C7451" w:rsidRPr="00531C55" w:rsidRDefault="000C7451" w:rsidP="000C7451">
            <w:pPr>
              <w:ind w:firstLine="720"/>
              <w:rPr>
                <w:color w:val="auto"/>
                <w:sz w:val="24"/>
                <w:szCs w:val="24"/>
              </w:rPr>
            </w:pPr>
          </w:p>
          <w:p w14:paraId="1BB70C9E" w14:textId="77777777" w:rsidR="000C7451" w:rsidRPr="00531C55" w:rsidRDefault="000C7451" w:rsidP="000C7451">
            <w:pPr>
              <w:ind w:firstLine="720"/>
              <w:rPr>
                <w:color w:val="auto"/>
                <w:sz w:val="24"/>
                <w:szCs w:val="24"/>
              </w:rPr>
            </w:pPr>
            <w:r w:rsidRPr="00531C55">
              <w:rPr>
                <w:color w:val="auto"/>
                <w:sz w:val="24"/>
                <w:szCs w:val="24"/>
              </w:rPr>
              <w:t xml:space="preserve">Ņemot vērā augšminēto, LDĢA pieprasa vispirms ar fiskāli mazietilpīgiem, precīzi mērķētiem pasākumiem novērst augšminētos netaisnības, kuru dēļ sievietes, kuras ir pilnu laiku audzinājušas bērnus (līdz bērna 1,5 gada vecumam) un nestrādājušas, tādā veidā sniedzot lielāko ieguldījumu pensiju sistēmas ilgtspējas nodrošināšanā, saņem ieguldījumam neatbilstīgu vecumdienu nodrošinājumu. </w:t>
            </w:r>
          </w:p>
          <w:p w14:paraId="586BDB98" w14:textId="77777777" w:rsidR="000C7451" w:rsidRPr="00531C55" w:rsidRDefault="000C7451" w:rsidP="000C7451">
            <w:pPr>
              <w:ind w:firstLine="720"/>
              <w:rPr>
                <w:b/>
                <w:color w:val="auto"/>
                <w:sz w:val="24"/>
                <w:szCs w:val="24"/>
              </w:rPr>
            </w:pPr>
            <w:r w:rsidRPr="00531C55">
              <w:rPr>
                <w:b/>
                <w:color w:val="auto"/>
                <w:sz w:val="24"/>
                <w:szCs w:val="24"/>
              </w:rPr>
              <w:t>Priekšlikumi:</w:t>
            </w:r>
          </w:p>
          <w:p w14:paraId="3CD43A06" w14:textId="77777777" w:rsidR="000C7451" w:rsidRPr="00531C55" w:rsidRDefault="000C7451" w:rsidP="000C7451">
            <w:pPr>
              <w:pStyle w:val="ListParagraph"/>
              <w:numPr>
                <w:ilvl w:val="0"/>
                <w:numId w:val="1"/>
              </w:numPr>
              <w:spacing w:after="0" w:line="240" w:lineRule="auto"/>
              <w:ind w:left="567" w:hanging="567"/>
              <w:jc w:val="both"/>
              <w:rPr>
                <w:rFonts w:ascii="Times New Roman" w:hAnsi="Times New Roman" w:cs="Times New Roman"/>
                <w:sz w:val="24"/>
                <w:szCs w:val="24"/>
              </w:rPr>
            </w:pPr>
            <w:r w:rsidRPr="00531C55">
              <w:rPr>
                <w:rFonts w:ascii="Times New Roman" w:hAnsi="Times New Roman" w:cs="Times New Roman"/>
                <w:sz w:val="24"/>
                <w:szCs w:val="24"/>
              </w:rPr>
              <w:t xml:space="preserve">Ieskaitīt sievietēm apdrošināšanas stāžā periodu, kurā tās audzināja </w:t>
            </w:r>
            <w:r w:rsidRPr="00531C55">
              <w:rPr>
                <w:rFonts w:ascii="Times New Roman" w:hAnsi="Times New Roman" w:cs="Times New Roman"/>
                <w:sz w:val="24"/>
                <w:szCs w:val="24"/>
              </w:rPr>
              <w:lastRenderedPageBreak/>
              <w:t xml:space="preserve">bērnus periodā no 1991.gada 1.janvāra līdz 1995.gada 31.decembrim. Šobrīd saskaņā ar likuma “Par valsts pensijām” Pārejas noteikumu 2.punktu apdrošināšanas stāžs tiek ieskaitīts tikai tad, ja par šo periodu apdrošināšanas iemaksas veica darba devējs vai pašas.  Pamatpazīme par šo periodu nevar būt - ir vai nav veiktas iemaksas dažu desmitu santīmu apjomā. Pamatpazīmei ir jābūt uzaudzinātajiem bērniem. </w:t>
            </w:r>
          </w:p>
          <w:p w14:paraId="34C2CFEC" w14:textId="77777777" w:rsidR="000C7451" w:rsidRPr="00531C55" w:rsidRDefault="000C7451" w:rsidP="000C7451">
            <w:pPr>
              <w:pStyle w:val="ListParagraph"/>
              <w:numPr>
                <w:ilvl w:val="0"/>
                <w:numId w:val="1"/>
              </w:numPr>
              <w:spacing w:after="0" w:line="240" w:lineRule="auto"/>
              <w:ind w:left="567" w:hanging="567"/>
              <w:jc w:val="both"/>
              <w:rPr>
                <w:rFonts w:ascii="Times New Roman" w:hAnsi="Times New Roman" w:cs="Times New Roman"/>
                <w:sz w:val="24"/>
                <w:szCs w:val="24"/>
              </w:rPr>
            </w:pPr>
            <w:r w:rsidRPr="00531C55">
              <w:rPr>
                <w:rFonts w:ascii="Times New Roman" w:hAnsi="Times New Roman" w:cs="Times New Roman"/>
                <w:sz w:val="24"/>
                <w:szCs w:val="24"/>
              </w:rPr>
              <w:t>Ieskaitīt apdrošināšanas stāžā periodu, kurā bērna (viens) vecāks nestrādāja un audzināja bērnu līdz bērna 1,5 gada vecumam, ja otrs vecāks tajā periodā strādāja un saņēma bērna kopšanas pabalstu.</w:t>
            </w:r>
          </w:p>
          <w:p w14:paraId="30AF5F1C" w14:textId="77777777" w:rsidR="000C7451" w:rsidRPr="00531C55" w:rsidRDefault="000C7451" w:rsidP="000C7451">
            <w:pPr>
              <w:pStyle w:val="ListParagraph"/>
              <w:numPr>
                <w:ilvl w:val="0"/>
                <w:numId w:val="1"/>
              </w:numPr>
              <w:spacing w:after="0" w:line="240" w:lineRule="auto"/>
              <w:ind w:left="567" w:hanging="567"/>
              <w:jc w:val="both"/>
              <w:rPr>
                <w:rFonts w:ascii="Times New Roman" w:hAnsi="Times New Roman" w:cs="Times New Roman"/>
                <w:sz w:val="24"/>
                <w:szCs w:val="24"/>
              </w:rPr>
            </w:pPr>
            <w:r w:rsidRPr="00531C55">
              <w:rPr>
                <w:rFonts w:ascii="Times New Roman" w:hAnsi="Times New Roman" w:cs="Times New Roman"/>
                <w:sz w:val="24"/>
                <w:szCs w:val="24"/>
              </w:rPr>
              <w:t xml:space="preserve">Indeksēt sievietēm pensiju kapitālu ar indeksu 1,05 par katru uzaudzināto bērnu; </w:t>
            </w:r>
          </w:p>
          <w:p w14:paraId="52E08EDC" w14:textId="77777777" w:rsidR="000C7451" w:rsidRPr="00531C55" w:rsidRDefault="000C7451" w:rsidP="000C7451">
            <w:pPr>
              <w:pStyle w:val="ListParagraph"/>
              <w:numPr>
                <w:ilvl w:val="0"/>
                <w:numId w:val="1"/>
              </w:numPr>
              <w:spacing w:after="0" w:line="240" w:lineRule="auto"/>
              <w:ind w:left="567" w:hanging="567"/>
              <w:jc w:val="both"/>
              <w:rPr>
                <w:rFonts w:ascii="Times New Roman" w:hAnsi="Times New Roman" w:cs="Times New Roman"/>
                <w:sz w:val="24"/>
                <w:szCs w:val="24"/>
              </w:rPr>
            </w:pPr>
            <w:r w:rsidRPr="00531C55">
              <w:rPr>
                <w:rFonts w:ascii="Times New Roman" w:hAnsi="Times New Roman" w:cs="Times New Roman"/>
                <w:sz w:val="24"/>
                <w:szCs w:val="24"/>
              </w:rPr>
              <w:t>Veicot sociālās apdrošināšanas iemaksas par bērna kopšanas periodu, nodrošināt, ka iemaksu objekts nav mazāks par likumā “Par valsts sociālo apdrošināšanu” noteikto minimālo iemaksu objektu;</w:t>
            </w:r>
          </w:p>
          <w:p w14:paraId="0BD57806" w14:textId="77777777" w:rsidR="000C7451" w:rsidRPr="00531C55" w:rsidRDefault="000C7451" w:rsidP="000C7451">
            <w:pPr>
              <w:pStyle w:val="ListParagraph"/>
              <w:numPr>
                <w:ilvl w:val="0"/>
                <w:numId w:val="1"/>
              </w:numPr>
              <w:spacing w:after="0" w:line="240" w:lineRule="auto"/>
              <w:ind w:left="567" w:hanging="567"/>
              <w:jc w:val="both"/>
              <w:rPr>
                <w:rFonts w:ascii="Times New Roman" w:hAnsi="Times New Roman" w:cs="Times New Roman"/>
                <w:sz w:val="24"/>
                <w:szCs w:val="24"/>
              </w:rPr>
            </w:pPr>
            <w:r w:rsidRPr="00531C55">
              <w:rPr>
                <w:rFonts w:ascii="Times New Roman" w:hAnsi="Times New Roman" w:cs="Times New Roman"/>
                <w:sz w:val="24"/>
                <w:szCs w:val="24"/>
              </w:rPr>
              <w:t xml:space="preserve">Laikā, kad persona saņem Vecāku pabalstu, iemaksas no budžeta </w:t>
            </w:r>
            <w:r w:rsidRPr="00531C55">
              <w:rPr>
                <w:rFonts w:ascii="Times New Roman" w:hAnsi="Times New Roman" w:cs="Times New Roman"/>
                <w:sz w:val="24"/>
                <w:szCs w:val="24"/>
              </w:rPr>
              <w:lastRenderedPageBreak/>
              <w:t xml:space="preserve">atvasināt no atalgojuma, kāds personai bija pirms pabalsta (maternitātes vai vecāku) piešķiršanas. </w:t>
            </w:r>
          </w:p>
          <w:p w14:paraId="176A3973" w14:textId="77777777" w:rsidR="000C7451" w:rsidRPr="00531C55" w:rsidRDefault="000C7451" w:rsidP="000C7451">
            <w:pPr>
              <w:ind w:firstLine="720"/>
              <w:rPr>
                <w:color w:val="auto"/>
                <w:sz w:val="24"/>
                <w:szCs w:val="24"/>
              </w:rPr>
            </w:pPr>
          </w:p>
          <w:p w14:paraId="612ABE40" w14:textId="77777777" w:rsidR="000C7451" w:rsidRPr="00531C55" w:rsidRDefault="000C7451" w:rsidP="000C7451">
            <w:pPr>
              <w:ind w:firstLine="720"/>
              <w:rPr>
                <w:color w:val="auto"/>
                <w:sz w:val="24"/>
                <w:szCs w:val="24"/>
              </w:rPr>
            </w:pPr>
            <w:r w:rsidRPr="00531C55">
              <w:rPr>
                <w:color w:val="auto"/>
                <w:sz w:val="24"/>
                <w:szCs w:val="24"/>
              </w:rPr>
              <w:t>Vienlaicīgi, universālas bāzes pensijas ieviešana, kas atkarīga no stāža un nevis no veiktajām sociālajām iemaksām, ir netaisnīga pret tiem darba ņēmējiem, kuri vienmēr veikuši sociālās iemaksas vispārējā nodokļu režīmā, pretēji tiem, kas izvēlējās ilgstoši būt nodarbināti mikrouzņēmuma nodokļu režīmā periodā no 2010. līdz 2020.gadam, apzinoties, ka tiek veiktas nenozīmīgi mazas iemaksas pensiju kapitālā. Pensiju “izlīdzināšana” būs negatīva motivācija aktīvi piedalīties sava 1.pensiju līmeņa kapitāla veidošanā.</w:t>
            </w:r>
          </w:p>
          <w:p w14:paraId="3FD19669" w14:textId="77777777" w:rsidR="000C7451" w:rsidRPr="00531C55" w:rsidRDefault="000C7451" w:rsidP="000C7451">
            <w:pPr>
              <w:rPr>
                <w:b/>
                <w:color w:val="auto"/>
                <w:sz w:val="24"/>
                <w:szCs w:val="24"/>
              </w:rPr>
            </w:pPr>
          </w:p>
        </w:tc>
        <w:tc>
          <w:tcPr>
            <w:tcW w:w="1650" w:type="dxa"/>
            <w:shd w:val="clear" w:color="auto" w:fill="FFFFFF"/>
            <w:noWrap/>
            <w:tcMar>
              <w:top w:w="75" w:type="dxa"/>
              <w:left w:w="75" w:type="dxa"/>
              <w:bottom w:w="75" w:type="dxa"/>
              <w:right w:w="75" w:type="dxa"/>
            </w:tcMar>
            <w:vAlign w:val="center"/>
          </w:tcPr>
          <w:p w14:paraId="668408F8" w14:textId="77777777" w:rsidR="000C7451" w:rsidRPr="00531C55" w:rsidRDefault="00531C55" w:rsidP="000C7451">
            <w:pPr>
              <w:jc w:val="left"/>
              <w:rPr>
                <w:sz w:val="24"/>
                <w:szCs w:val="24"/>
              </w:rPr>
            </w:pPr>
            <w:r w:rsidRPr="00531C55">
              <w:rPr>
                <w:sz w:val="24"/>
                <w:szCs w:val="24"/>
              </w:rPr>
              <w:lastRenderedPageBreak/>
              <w:t>Nav ņemts vērā</w:t>
            </w:r>
          </w:p>
        </w:tc>
        <w:tc>
          <w:tcPr>
            <w:tcW w:w="4056" w:type="dxa"/>
            <w:shd w:val="clear" w:color="auto" w:fill="FFFFFF"/>
            <w:noWrap/>
            <w:tcMar>
              <w:top w:w="75" w:type="dxa"/>
              <w:left w:w="75" w:type="dxa"/>
              <w:bottom w:w="75" w:type="dxa"/>
              <w:right w:w="75" w:type="dxa"/>
            </w:tcMar>
            <w:vAlign w:val="center"/>
          </w:tcPr>
          <w:p w14:paraId="7258EF3A" w14:textId="77777777" w:rsidR="00531C55" w:rsidRPr="00531C55" w:rsidRDefault="00531C55" w:rsidP="00531C55">
            <w:pPr>
              <w:rPr>
                <w:sz w:val="24"/>
                <w:szCs w:val="24"/>
              </w:rPr>
            </w:pPr>
            <w:r w:rsidRPr="00531C55">
              <w:rPr>
                <w:sz w:val="24"/>
                <w:szCs w:val="24"/>
              </w:rPr>
              <w:t xml:space="preserve">Informatīvā ziņojuma mērķis ir piedāvāt bāzes pensijas ieviešanas modeli, kas </w:t>
            </w:r>
            <w:r w:rsidRPr="00531C55">
              <w:rPr>
                <w:sz w:val="24"/>
                <w:szCs w:val="24"/>
              </w:rPr>
              <w:lastRenderedPageBreak/>
              <w:t>nodrošinātu taisnīgumu pret visiem vecuma pensijas saņēmējiem, neatkarīgi no laika, kad piešķirta pensija. Piemaksas piešķiršana pie visām vecuma pensijām un tās apmēra noteikšana atbilstoši personas kopējam individuālajam apdrošināšanas stāžam būtu taisnīga pret visiem vecuma pensijas saņēmējiem.</w:t>
            </w:r>
          </w:p>
          <w:p w14:paraId="58DE7BCE" w14:textId="77777777" w:rsidR="00531C55" w:rsidRPr="00531C55" w:rsidRDefault="00531C55" w:rsidP="00531C55">
            <w:pPr>
              <w:rPr>
                <w:sz w:val="24"/>
                <w:szCs w:val="24"/>
              </w:rPr>
            </w:pPr>
            <w:r w:rsidRPr="00531C55">
              <w:rPr>
                <w:sz w:val="24"/>
                <w:szCs w:val="24"/>
              </w:rPr>
              <w:t>Informatīvajā ziņojumā netiek uzskaitīti citi ar bāzes pensiju nesaistīti pensiju sistēmas uzlabojumi. Vienlaikus informējam, ka Labklājības ministrija gatavo vairākus priekšlikumus prioritārajiem pasākumiem 2027. gada budžetā, kas skar gan atbalstu ģimenēm ar bērniem, gan viņu pensiju nodrošinājumu nākotnē.</w:t>
            </w:r>
          </w:p>
          <w:p w14:paraId="6A4071DD" w14:textId="77777777" w:rsidR="000C7451" w:rsidRPr="00531C55" w:rsidRDefault="000C7451" w:rsidP="000C7451">
            <w:pPr>
              <w:jc w:val="left"/>
              <w:rPr>
                <w:sz w:val="24"/>
                <w:szCs w:val="24"/>
              </w:rPr>
            </w:pPr>
          </w:p>
        </w:tc>
      </w:tr>
      <w:tr w:rsidR="000C7451" w:rsidRPr="00531C55" w14:paraId="078504BC" w14:textId="77777777">
        <w:tc>
          <w:tcPr>
            <w:tcW w:w="750" w:type="dxa"/>
            <w:shd w:val="clear" w:color="auto" w:fill="FFFFFF"/>
            <w:noWrap/>
            <w:tcMar>
              <w:top w:w="75" w:type="dxa"/>
              <w:left w:w="75" w:type="dxa"/>
              <w:bottom w:w="75" w:type="dxa"/>
              <w:right w:w="75" w:type="dxa"/>
            </w:tcMar>
            <w:vAlign w:val="center"/>
          </w:tcPr>
          <w:p w14:paraId="1F6BEDD7" w14:textId="77777777" w:rsidR="000C7451" w:rsidRPr="00531C55" w:rsidRDefault="000C7451" w:rsidP="000C7451">
            <w:pPr>
              <w:jc w:val="center"/>
              <w:rPr>
                <w:color w:val="auto"/>
                <w:sz w:val="24"/>
                <w:szCs w:val="24"/>
              </w:rPr>
            </w:pPr>
          </w:p>
        </w:tc>
        <w:tc>
          <w:tcPr>
            <w:tcW w:w="4055" w:type="dxa"/>
            <w:shd w:val="clear" w:color="auto" w:fill="FFFFFF"/>
            <w:noWrap/>
            <w:tcMar>
              <w:top w:w="75" w:type="dxa"/>
              <w:left w:w="75" w:type="dxa"/>
              <w:bottom w:w="75" w:type="dxa"/>
              <w:right w:w="75" w:type="dxa"/>
            </w:tcMar>
            <w:vAlign w:val="center"/>
          </w:tcPr>
          <w:p w14:paraId="0A90058F" w14:textId="77777777" w:rsidR="000C7451" w:rsidRPr="00531C55" w:rsidRDefault="00531C55" w:rsidP="000C7451">
            <w:pPr>
              <w:jc w:val="left"/>
              <w:rPr>
                <w:color w:val="auto"/>
                <w:sz w:val="24"/>
                <w:szCs w:val="24"/>
              </w:rPr>
            </w:pPr>
            <w:r w:rsidRPr="00531C55">
              <w:rPr>
                <w:color w:val="auto"/>
                <w:sz w:val="24"/>
                <w:szCs w:val="24"/>
              </w:rPr>
              <w:t>Fiziska persona</w:t>
            </w:r>
          </w:p>
        </w:tc>
        <w:tc>
          <w:tcPr>
            <w:tcW w:w="4056" w:type="dxa"/>
            <w:shd w:val="clear" w:color="auto" w:fill="FFFFFF"/>
            <w:noWrap/>
            <w:tcMar>
              <w:top w:w="75" w:type="dxa"/>
              <w:left w:w="75" w:type="dxa"/>
              <w:bottom w:w="75" w:type="dxa"/>
              <w:right w:w="75" w:type="dxa"/>
            </w:tcMar>
            <w:vAlign w:val="center"/>
          </w:tcPr>
          <w:p w14:paraId="5231F81E" w14:textId="77777777" w:rsidR="00531C55" w:rsidRPr="00531C55" w:rsidRDefault="00531C55" w:rsidP="00531C55">
            <w:pPr>
              <w:rPr>
                <w:color w:val="auto"/>
                <w:sz w:val="24"/>
                <w:szCs w:val="24"/>
              </w:rPr>
            </w:pPr>
            <w:r w:rsidRPr="00531C55">
              <w:rPr>
                <w:color w:val="auto"/>
                <w:sz w:val="24"/>
                <w:szCs w:val="24"/>
              </w:rPr>
              <w:t xml:space="preserve">Piekrītu bāzes pensijas izveidei no 2027. gada. Lai palielinātu piemaksu pie pensijas līdz 1995. gada 31. decembrim. </w:t>
            </w:r>
          </w:p>
          <w:p w14:paraId="62088770" w14:textId="77777777" w:rsidR="000C7451" w:rsidRPr="00531C55" w:rsidRDefault="000C7451" w:rsidP="000C7451">
            <w:pPr>
              <w:jc w:val="left"/>
              <w:rPr>
                <w:color w:val="auto"/>
                <w:sz w:val="24"/>
                <w:szCs w:val="24"/>
              </w:rPr>
            </w:pPr>
          </w:p>
        </w:tc>
        <w:tc>
          <w:tcPr>
            <w:tcW w:w="1650" w:type="dxa"/>
            <w:shd w:val="clear" w:color="auto" w:fill="FFFFFF"/>
            <w:noWrap/>
            <w:tcMar>
              <w:top w:w="75" w:type="dxa"/>
              <w:left w:w="75" w:type="dxa"/>
              <w:bottom w:w="75" w:type="dxa"/>
              <w:right w:w="75" w:type="dxa"/>
            </w:tcMar>
            <w:vAlign w:val="center"/>
          </w:tcPr>
          <w:p w14:paraId="7C40CD25" w14:textId="77777777" w:rsidR="000C7451" w:rsidRPr="00531C55" w:rsidRDefault="00531C55" w:rsidP="000C7451">
            <w:pPr>
              <w:jc w:val="left"/>
              <w:rPr>
                <w:color w:val="auto"/>
                <w:sz w:val="24"/>
                <w:szCs w:val="24"/>
              </w:rPr>
            </w:pPr>
            <w:r w:rsidRPr="00531C55">
              <w:rPr>
                <w:color w:val="auto"/>
                <w:sz w:val="24"/>
                <w:szCs w:val="24"/>
              </w:rPr>
              <w:t>Ņemts vērā.</w:t>
            </w:r>
          </w:p>
        </w:tc>
        <w:tc>
          <w:tcPr>
            <w:tcW w:w="4056" w:type="dxa"/>
            <w:shd w:val="clear" w:color="auto" w:fill="FFFFFF"/>
            <w:noWrap/>
            <w:tcMar>
              <w:top w:w="75" w:type="dxa"/>
              <w:left w:w="75" w:type="dxa"/>
              <w:bottom w:w="75" w:type="dxa"/>
              <w:right w:w="75" w:type="dxa"/>
            </w:tcMar>
            <w:vAlign w:val="center"/>
          </w:tcPr>
          <w:p w14:paraId="5D0AEF23" w14:textId="77777777" w:rsidR="000C7451" w:rsidRPr="00531C55" w:rsidRDefault="00531C55" w:rsidP="00531C55">
            <w:pPr>
              <w:rPr>
                <w:color w:val="auto"/>
                <w:sz w:val="24"/>
                <w:szCs w:val="24"/>
              </w:rPr>
            </w:pPr>
            <w:r w:rsidRPr="00531C55">
              <w:rPr>
                <w:color w:val="auto"/>
                <w:sz w:val="24"/>
                <w:szCs w:val="24"/>
              </w:rPr>
              <w:t xml:space="preserve">Ziņojumā paredzēts </w:t>
            </w:r>
            <w:r w:rsidRPr="00531C55">
              <w:rPr>
                <w:sz w:val="24"/>
                <w:szCs w:val="24"/>
              </w:rPr>
              <w:t>pakāpeniski palielināt vecuma pensiju saņēmējiem piemaksu par stāžu līdz 1995.gada beigām par 0,50 eiro un ieviest piemaksu par stāžu no 1996.gada 1.janvāra</w:t>
            </w:r>
            <w:r>
              <w:rPr>
                <w:sz w:val="24"/>
                <w:szCs w:val="24"/>
              </w:rPr>
              <w:t>.</w:t>
            </w:r>
          </w:p>
        </w:tc>
      </w:tr>
    </w:tbl>
    <w:p w14:paraId="15134CCF" w14:textId="77777777" w:rsidR="00D26075" w:rsidRPr="00531C55" w:rsidRDefault="00D26075">
      <w:pPr>
        <w:rPr>
          <w:sz w:val="24"/>
          <w:szCs w:val="24"/>
        </w:rPr>
      </w:pPr>
    </w:p>
    <w:tbl>
      <w:tblPr>
        <w:tblStyle w:val="a"/>
        <w:tblW w:w="14567" w:type="dxa"/>
        <w:tblLayout w:type="fixed"/>
        <w:tblLook w:val="0600" w:firstRow="0" w:lastRow="0" w:firstColumn="0" w:lastColumn="0" w:noHBand="1" w:noVBand="1"/>
      </w:tblPr>
      <w:tblGrid>
        <w:gridCol w:w="4855"/>
        <w:gridCol w:w="4856"/>
        <w:gridCol w:w="4856"/>
      </w:tblGrid>
      <w:tr w:rsidR="00D26075" w:rsidRPr="00531C55" w14:paraId="1F22201B" w14:textId="77777777">
        <w:tc>
          <w:tcPr>
            <w:tcW w:w="4855" w:type="dxa"/>
            <w:shd w:val="clear" w:color="auto" w:fill="FFFFFF"/>
            <w:noWrap/>
            <w:tcMar>
              <w:top w:w="75" w:type="dxa"/>
              <w:left w:w="75" w:type="dxa"/>
              <w:bottom w:w="75" w:type="dxa"/>
              <w:right w:w="75" w:type="dxa"/>
            </w:tcMar>
            <w:vAlign w:val="center"/>
          </w:tcPr>
          <w:p w14:paraId="207650A2" w14:textId="77777777" w:rsidR="00D26075" w:rsidRPr="00531C55" w:rsidRDefault="00D607F3">
            <w:pPr>
              <w:jc w:val="left"/>
              <w:rPr>
                <w:sz w:val="24"/>
                <w:szCs w:val="24"/>
              </w:rPr>
            </w:pPr>
            <w:r w:rsidRPr="00531C55">
              <w:rPr>
                <w:sz w:val="24"/>
                <w:szCs w:val="24"/>
              </w:rPr>
              <w:t>Datums**</w:t>
            </w:r>
          </w:p>
        </w:tc>
        <w:tc>
          <w:tcPr>
            <w:tcW w:w="4856" w:type="dxa"/>
            <w:shd w:val="clear" w:color="auto" w:fill="FFFFFF"/>
            <w:noWrap/>
            <w:tcMar>
              <w:top w:w="75" w:type="dxa"/>
              <w:left w:w="75" w:type="dxa"/>
              <w:bottom w:w="75" w:type="dxa"/>
              <w:right w:w="75" w:type="dxa"/>
            </w:tcMar>
            <w:vAlign w:val="center"/>
          </w:tcPr>
          <w:p w14:paraId="76000980" w14:textId="4491242E" w:rsidR="00D26075" w:rsidRPr="00531C55" w:rsidRDefault="00DE24C0">
            <w:pPr>
              <w:pBdr>
                <w:bottom w:val="single" w:sz="10" w:space="1" w:color="000000"/>
              </w:pBdr>
              <w:rPr>
                <w:sz w:val="24"/>
                <w:szCs w:val="24"/>
              </w:rPr>
            </w:pPr>
            <w:r>
              <w:rPr>
                <w:sz w:val="24"/>
                <w:szCs w:val="24"/>
              </w:rPr>
              <w:t>1</w:t>
            </w:r>
            <w:r w:rsidR="00171E60">
              <w:rPr>
                <w:sz w:val="24"/>
                <w:szCs w:val="24"/>
              </w:rPr>
              <w:t>5</w:t>
            </w:r>
            <w:r>
              <w:rPr>
                <w:sz w:val="24"/>
                <w:szCs w:val="24"/>
              </w:rPr>
              <w:t>.05.2026.</w:t>
            </w:r>
          </w:p>
        </w:tc>
        <w:tc>
          <w:tcPr>
            <w:tcW w:w="4856" w:type="dxa"/>
            <w:shd w:val="clear" w:color="auto" w:fill="FFFFFF"/>
            <w:noWrap/>
            <w:tcMar>
              <w:top w:w="75" w:type="dxa"/>
              <w:left w:w="75" w:type="dxa"/>
              <w:bottom w:w="75" w:type="dxa"/>
              <w:right w:w="75" w:type="dxa"/>
            </w:tcMar>
            <w:vAlign w:val="center"/>
          </w:tcPr>
          <w:p w14:paraId="7A796B9B" w14:textId="77777777" w:rsidR="00D26075" w:rsidRPr="00531C55" w:rsidRDefault="00D26075">
            <w:pPr>
              <w:rPr>
                <w:sz w:val="24"/>
                <w:szCs w:val="24"/>
              </w:rPr>
            </w:pPr>
          </w:p>
        </w:tc>
      </w:tr>
      <w:tr w:rsidR="00D26075" w:rsidRPr="00531C55" w14:paraId="47EAF023" w14:textId="77777777">
        <w:tc>
          <w:tcPr>
            <w:tcW w:w="4855" w:type="dxa"/>
            <w:shd w:val="clear" w:color="auto" w:fill="FFFFFF"/>
            <w:noWrap/>
            <w:tcMar>
              <w:top w:w="75" w:type="dxa"/>
              <w:left w:w="75" w:type="dxa"/>
              <w:bottom w:w="75" w:type="dxa"/>
              <w:right w:w="75" w:type="dxa"/>
            </w:tcMar>
            <w:vAlign w:val="center"/>
          </w:tcPr>
          <w:p w14:paraId="7B367CF4" w14:textId="77777777" w:rsidR="00D26075" w:rsidRPr="00531C55" w:rsidRDefault="00D26075">
            <w:pPr>
              <w:rPr>
                <w:sz w:val="24"/>
                <w:szCs w:val="24"/>
              </w:rPr>
            </w:pPr>
          </w:p>
        </w:tc>
        <w:tc>
          <w:tcPr>
            <w:tcW w:w="4856" w:type="dxa"/>
            <w:shd w:val="clear" w:color="auto" w:fill="FFFFFF"/>
            <w:noWrap/>
            <w:tcMar>
              <w:top w:w="75" w:type="dxa"/>
              <w:left w:w="75" w:type="dxa"/>
              <w:bottom w:w="75" w:type="dxa"/>
              <w:right w:w="75" w:type="dxa"/>
            </w:tcMar>
            <w:vAlign w:val="center"/>
          </w:tcPr>
          <w:p w14:paraId="746491FA" w14:textId="77777777" w:rsidR="00D26075" w:rsidRPr="00531C55" w:rsidRDefault="00D607F3">
            <w:pPr>
              <w:jc w:val="center"/>
              <w:rPr>
                <w:sz w:val="24"/>
                <w:szCs w:val="24"/>
              </w:rPr>
            </w:pPr>
            <w:r w:rsidRPr="00531C55">
              <w:rPr>
                <w:sz w:val="24"/>
                <w:szCs w:val="24"/>
              </w:rPr>
              <w:t>(dd.mm.gggg)</w:t>
            </w:r>
          </w:p>
        </w:tc>
        <w:tc>
          <w:tcPr>
            <w:tcW w:w="4856" w:type="dxa"/>
            <w:shd w:val="clear" w:color="auto" w:fill="FFFFFF"/>
            <w:noWrap/>
            <w:tcMar>
              <w:top w:w="75" w:type="dxa"/>
              <w:left w:w="75" w:type="dxa"/>
              <w:bottom w:w="75" w:type="dxa"/>
              <w:right w:w="75" w:type="dxa"/>
            </w:tcMar>
            <w:vAlign w:val="center"/>
          </w:tcPr>
          <w:p w14:paraId="51410F0B" w14:textId="77777777" w:rsidR="00D26075" w:rsidRPr="00531C55" w:rsidRDefault="00D26075">
            <w:pPr>
              <w:rPr>
                <w:sz w:val="24"/>
                <w:szCs w:val="24"/>
              </w:rPr>
            </w:pPr>
          </w:p>
        </w:tc>
      </w:tr>
      <w:tr w:rsidR="00D26075" w:rsidRPr="00531C55" w14:paraId="45FA6020" w14:textId="77777777">
        <w:tc>
          <w:tcPr>
            <w:tcW w:w="4855" w:type="dxa"/>
            <w:shd w:val="clear" w:color="auto" w:fill="FFFFFF"/>
            <w:noWrap/>
            <w:tcMar>
              <w:top w:w="75" w:type="dxa"/>
              <w:left w:w="75" w:type="dxa"/>
              <w:bottom w:w="75" w:type="dxa"/>
              <w:right w:w="75" w:type="dxa"/>
            </w:tcMar>
            <w:vAlign w:val="center"/>
          </w:tcPr>
          <w:p w14:paraId="1B0B5213" w14:textId="77777777" w:rsidR="00D26075" w:rsidRPr="00531C55" w:rsidRDefault="00D607F3">
            <w:pPr>
              <w:jc w:val="left"/>
              <w:rPr>
                <w:sz w:val="24"/>
                <w:szCs w:val="24"/>
              </w:rPr>
            </w:pPr>
            <w:r w:rsidRPr="00531C55">
              <w:rPr>
                <w:sz w:val="24"/>
                <w:szCs w:val="24"/>
              </w:rPr>
              <w:t>Atbildīgā persona</w:t>
            </w:r>
          </w:p>
        </w:tc>
        <w:tc>
          <w:tcPr>
            <w:tcW w:w="4856" w:type="dxa"/>
            <w:shd w:val="clear" w:color="auto" w:fill="FFFFFF"/>
            <w:noWrap/>
            <w:tcMar>
              <w:top w:w="75" w:type="dxa"/>
              <w:left w:w="75" w:type="dxa"/>
              <w:bottom w:w="75" w:type="dxa"/>
              <w:right w:w="75" w:type="dxa"/>
            </w:tcMar>
            <w:vAlign w:val="center"/>
          </w:tcPr>
          <w:p w14:paraId="1C5850D6" w14:textId="77777777" w:rsidR="00D26075" w:rsidRPr="00531C55" w:rsidRDefault="00DE24C0">
            <w:pPr>
              <w:pBdr>
                <w:bottom w:val="single" w:sz="10" w:space="1" w:color="000000"/>
              </w:pBdr>
              <w:rPr>
                <w:sz w:val="24"/>
                <w:szCs w:val="24"/>
              </w:rPr>
            </w:pPr>
            <w:r>
              <w:rPr>
                <w:sz w:val="24"/>
                <w:szCs w:val="24"/>
              </w:rPr>
              <w:t>Dace Trušinska</w:t>
            </w:r>
          </w:p>
        </w:tc>
        <w:tc>
          <w:tcPr>
            <w:tcW w:w="4856" w:type="dxa"/>
            <w:shd w:val="clear" w:color="auto" w:fill="FFFFFF"/>
            <w:noWrap/>
            <w:tcMar>
              <w:top w:w="75" w:type="dxa"/>
              <w:left w:w="75" w:type="dxa"/>
              <w:bottom w:w="75" w:type="dxa"/>
              <w:right w:w="75" w:type="dxa"/>
            </w:tcMar>
            <w:vAlign w:val="center"/>
          </w:tcPr>
          <w:p w14:paraId="0321E27C" w14:textId="77777777" w:rsidR="00D26075" w:rsidRPr="00531C55" w:rsidRDefault="00D26075">
            <w:pPr>
              <w:rPr>
                <w:sz w:val="24"/>
                <w:szCs w:val="24"/>
              </w:rPr>
            </w:pPr>
          </w:p>
        </w:tc>
      </w:tr>
      <w:tr w:rsidR="00D26075" w:rsidRPr="00531C55" w14:paraId="0D78B8CD" w14:textId="77777777">
        <w:tc>
          <w:tcPr>
            <w:tcW w:w="4855" w:type="dxa"/>
            <w:shd w:val="clear" w:color="auto" w:fill="FFFFFF"/>
            <w:noWrap/>
            <w:tcMar>
              <w:top w:w="75" w:type="dxa"/>
              <w:left w:w="75" w:type="dxa"/>
              <w:bottom w:w="75" w:type="dxa"/>
              <w:right w:w="75" w:type="dxa"/>
            </w:tcMar>
            <w:vAlign w:val="center"/>
          </w:tcPr>
          <w:p w14:paraId="3146847E" w14:textId="77777777" w:rsidR="00D26075" w:rsidRPr="00531C55" w:rsidRDefault="00D26075">
            <w:pPr>
              <w:rPr>
                <w:sz w:val="24"/>
                <w:szCs w:val="24"/>
              </w:rPr>
            </w:pPr>
          </w:p>
        </w:tc>
        <w:tc>
          <w:tcPr>
            <w:tcW w:w="4856" w:type="dxa"/>
            <w:shd w:val="clear" w:color="auto" w:fill="FFFFFF"/>
            <w:noWrap/>
            <w:tcMar>
              <w:top w:w="75" w:type="dxa"/>
              <w:left w:w="75" w:type="dxa"/>
              <w:bottom w:w="75" w:type="dxa"/>
              <w:right w:w="75" w:type="dxa"/>
            </w:tcMar>
            <w:vAlign w:val="center"/>
          </w:tcPr>
          <w:p w14:paraId="7955B095" w14:textId="77777777" w:rsidR="00D26075" w:rsidRPr="00531C55" w:rsidRDefault="00D607F3">
            <w:pPr>
              <w:jc w:val="center"/>
              <w:rPr>
                <w:sz w:val="24"/>
                <w:szCs w:val="24"/>
              </w:rPr>
            </w:pPr>
            <w:r w:rsidRPr="00531C55">
              <w:rPr>
                <w:sz w:val="24"/>
                <w:szCs w:val="24"/>
              </w:rPr>
              <w:t>(vārds, uzvārds, paraksts**)</w:t>
            </w:r>
          </w:p>
        </w:tc>
        <w:tc>
          <w:tcPr>
            <w:tcW w:w="4856" w:type="dxa"/>
            <w:shd w:val="clear" w:color="auto" w:fill="FFFFFF"/>
            <w:noWrap/>
            <w:tcMar>
              <w:top w:w="75" w:type="dxa"/>
              <w:left w:w="75" w:type="dxa"/>
              <w:bottom w:w="75" w:type="dxa"/>
              <w:right w:w="75" w:type="dxa"/>
            </w:tcMar>
            <w:vAlign w:val="center"/>
          </w:tcPr>
          <w:p w14:paraId="67644A06" w14:textId="77777777" w:rsidR="00D26075" w:rsidRPr="00531C55" w:rsidRDefault="00D26075">
            <w:pPr>
              <w:rPr>
                <w:sz w:val="24"/>
                <w:szCs w:val="24"/>
              </w:rPr>
            </w:pPr>
          </w:p>
        </w:tc>
      </w:tr>
    </w:tbl>
    <w:p w14:paraId="6B56442C" w14:textId="77777777" w:rsidR="00D26075" w:rsidRPr="00531C55" w:rsidRDefault="00D26075">
      <w:pPr>
        <w:rPr>
          <w:sz w:val="24"/>
          <w:szCs w:val="24"/>
        </w:rPr>
      </w:pPr>
    </w:p>
    <w:p w14:paraId="6782328F" w14:textId="77777777" w:rsidR="00D26075" w:rsidRPr="00531C55" w:rsidRDefault="00D607F3">
      <w:pPr>
        <w:rPr>
          <w:sz w:val="24"/>
          <w:szCs w:val="24"/>
        </w:rPr>
      </w:pPr>
      <w:r w:rsidRPr="00531C55">
        <w:rPr>
          <w:sz w:val="24"/>
          <w:szCs w:val="24"/>
        </w:rPr>
        <w:t>Piezīmes.</w:t>
      </w:r>
    </w:p>
    <w:p w14:paraId="08DA8B6B" w14:textId="77777777" w:rsidR="00D26075" w:rsidRPr="00531C55" w:rsidRDefault="00D607F3">
      <w:pPr>
        <w:rPr>
          <w:sz w:val="24"/>
          <w:szCs w:val="24"/>
        </w:rPr>
      </w:pPr>
      <w:r w:rsidRPr="00531C55">
        <w:rPr>
          <w:sz w:val="24"/>
          <w:szCs w:val="24"/>
        </w:rPr>
        <w:t>* Iesniedzējs (fiziskai personai – vārds, uzvārds, juridiskai personai – nosaukums) var tikt publiskots, ja viņš tam ir piekritis. Ja attiecināms, iesniedzējs norāda interešu pārstāvja reģistrācijas numuru.</w:t>
      </w:r>
    </w:p>
    <w:p w14:paraId="432337D3" w14:textId="77777777" w:rsidR="00D26075" w:rsidRPr="00531C55" w:rsidRDefault="00D607F3">
      <w:pPr>
        <w:rPr>
          <w:sz w:val="24"/>
          <w:szCs w:val="24"/>
        </w:rPr>
      </w:pPr>
      <w:r w:rsidRPr="00531C55">
        <w:rPr>
          <w:sz w:val="24"/>
          <w:szCs w:val="24"/>
        </w:rPr>
        <w:t>** Dokumenta rekvizītus "datums" un "paraksts" neaizpilda, ja elektroniskais dokuments ir sagatavots atbilstoši normatīvajiem aktiem par elektronisko dokumentu noformēšanu.</w:t>
      </w:r>
    </w:p>
    <w:sectPr w:rsidR="00D26075" w:rsidRPr="00531C55">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9DCAE" w14:textId="77777777" w:rsidR="004A7723" w:rsidRDefault="00D607F3">
      <w:r>
        <w:separator/>
      </w:r>
    </w:p>
  </w:endnote>
  <w:endnote w:type="continuationSeparator" w:id="0">
    <w:p w14:paraId="5128FEE7" w14:textId="77777777" w:rsidR="004A7723" w:rsidRDefault="00D6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3D56D" w14:textId="77777777" w:rsidR="00D26075" w:rsidRDefault="00D607F3">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CC58D" w14:textId="77777777" w:rsidR="004A7723" w:rsidRDefault="00D607F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869E4" w14:textId="77777777" w:rsidR="004A7723" w:rsidRDefault="00D607F3">
      <w:r>
        <w:separator/>
      </w:r>
    </w:p>
  </w:footnote>
  <w:footnote w:type="continuationSeparator" w:id="0">
    <w:p w14:paraId="55110704" w14:textId="77777777" w:rsidR="004A7723" w:rsidRDefault="00D60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93E5A" w14:textId="77777777" w:rsidR="00D26075" w:rsidRDefault="00D607F3">
    <w:pPr>
      <w:pStyle w:val="Header"/>
      <w:contextualSpacing w:val="0"/>
    </w:pPr>
    <w:r>
      <w:t>Viedokļu pārskats 26-TA-918</w:t>
    </w:r>
    <w:r>
      <w:br/>
      <w:t>Izdrukāts 07.05.2026. 08.20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570D" w14:textId="77777777" w:rsidR="00D26075" w:rsidRDefault="00D607F3">
    <w:pPr>
      <w:pStyle w:val="Header"/>
      <w:contextualSpacing w:val="0"/>
    </w:pPr>
    <w:r>
      <w:t>Viedokļu pārskats 26-TA-918</w:t>
    </w:r>
    <w:r>
      <w:br/>
      <w:t>Izdrukāts 07.05.2026. 08.20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03BE1"/>
    <w:multiLevelType w:val="hybridMultilevel"/>
    <w:tmpl w:val="92B22A4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11093C80"/>
    <w:multiLevelType w:val="hybridMultilevel"/>
    <w:tmpl w:val="A62219F4"/>
    <w:lvl w:ilvl="0" w:tplc="04260011">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2" w15:restartNumberingAfterBreak="0">
    <w:nsid w:val="523456E0"/>
    <w:multiLevelType w:val="hybridMultilevel"/>
    <w:tmpl w:val="B5FE7DA0"/>
    <w:lvl w:ilvl="0" w:tplc="9F54DBD2">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64418048">
    <w:abstractNumId w:val="2"/>
  </w:num>
  <w:num w:numId="2" w16cid:durableId="1550991546">
    <w:abstractNumId w:val="0"/>
  </w:num>
  <w:num w:numId="3" w16cid:durableId="47895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075"/>
    <w:rsid w:val="00071D7A"/>
    <w:rsid w:val="000C7451"/>
    <w:rsid w:val="000E25F0"/>
    <w:rsid w:val="00171E60"/>
    <w:rsid w:val="00392AB2"/>
    <w:rsid w:val="004A7723"/>
    <w:rsid w:val="00531C55"/>
    <w:rsid w:val="00CA043C"/>
    <w:rsid w:val="00CC211C"/>
    <w:rsid w:val="00D26075"/>
    <w:rsid w:val="00D607F3"/>
    <w:rsid w:val="00DE24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CE710"/>
  <w15:docId w15:val="{C134E088-577E-4879-B3C5-FD0465E8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aliases w:val="2,Akapit z listą BS,H&amp;P List Paragraph,Strip"/>
    <w:basedOn w:val="Normal"/>
    <w:link w:val="ListParagraphChar"/>
    <w:uiPriority w:val="34"/>
    <w:qFormat/>
    <w:rsid w:val="000C7451"/>
    <w:pPr>
      <w:spacing w:after="160" w:line="259" w:lineRule="auto"/>
      <w:ind w:left="720"/>
      <w:contextualSpacing/>
      <w:jc w:val="left"/>
    </w:pPr>
    <w:rPr>
      <w:rFonts w:asciiTheme="minorHAnsi" w:eastAsiaTheme="minorHAnsi" w:hAnsiTheme="minorHAnsi" w:cstheme="minorBidi"/>
      <w:color w:val="auto"/>
      <w:sz w:val="22"/>
      <w:szCs w:val="22"/>
      <w:lang w:eastAsia="en-US"/>
    </w:rPr>
  </w:style>
  <w:style w:type="character" w:customStyle="1" w:styleId="ListParagraphChar">
    <w:name w:val="List Paragraph Char"/>
    <w:aliases w:val="2 Char,Akapit z listą BS Char,H&amp;P List Paragraph Char,Strip Char"/>
    <w:link w:val="ListParagraph"/>
    <w:uiPriority w:val="34"/>
    <w:locked/>
    <w:rsid w:val="000C7451"/>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086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15</Pages>
  <Words>12552</Words>
  <Characters>7156</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viedoklu_parskats_26-TA-918.docx</vt:lpstr>
    </vt:vector>
  </TitlesOfParts>
  <Company>LM</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viedoklu_parskats_26-TA-918.docx</dc:title>
  <dc:creator>Dace Trušinska</dc:creator>
  <cp:lastModifiedBy>Dace Trušinska</cp:lastModifiedBy>
  <cp:revision>10</cp:revision>
  <dcterms:created xsi:type="dcterms:W3CDTF">2026-05-07T05:22:00Z</dcterms:created>
  <dcterms:modified xsi:type="dcterms:W3CDTF">2026-05-15T08:12:00Z</dcterms:modified>
</cp:coreProperties>
</file>