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A30207" w14:textId="59B445AD" w:rsidR="00D33F95" w:rsidRDefault="00000000" w:rsidP="007A6A21">
      <w:pPr>
        <w:spacing w:after="240"/>
        <w:ind w:left="720" w:firstLine="720"/>
        <w:jc w:val="center"/>
        <w:rPr>
          <w:b/>
        </w:rPr>
      </w:pPr>
      <w:r>
        <w:rPr>
          <w:b/>
        </w:rPr>
        <w:t>“Publiskās apspriešanas laikā 15.01.2025. - 29.01.2025. saņemto viedokļu, priekšlikumu un iebildumu apkopojums par Grozījumi Ministru kabineta 2014. gada 20. maija noteikumos Nr.255 "Noteikumi par distances līgumu"”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33F95" w14:paraId="5D7F33FF" w14:textId="77777777">
        <w:tc>
          <w:tcPr>
            <w:tcW w:w="750" w:type="dxa"/>
            <w:shd w:val="clear" w:color="auto" w:fill="FFFFFF"/>
            <w:noWrap/>
            <w:tcMar>
              <w:top w:w="75" w:type="dxa"/>
              <w:left w:w="75" w:type="dxa"/>
              <w:bottom w:w="75" w:type="dxa"/>
              <w:right w:w="75" w:type="dxa"/>
            </w:tcMar>
            <w:vAlign w:val="center"/>
          </w:tcPr>
          <w:p w14:paraId="7A918E8C" w14:textId="77777777" w:rsidR="00D33F95"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3D16800E" w14:textId="77777777" w:rsidR="00D33F95" w:rsidRPr="008F1E57" w:rsidRDefault="00000000">
            <w:pPr>
              <w:jc w:val="center"/>
              <w:rPr>
                <w:b/>
              </w:rPr>
            </w:pPr>
            <w:r w:rsidRPr="008F1E57">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33B61D8" w14:textId="77777777" w:rsidR="00D33F95"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8255D42" w14:textId="77777777" w:rsidR="00D33F95"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C7772E3" w14:textId="77777777" w:rsidR="00D33F95" w:rsidRDefault="00000000">
            <w:pPr>
              <w:jc w:val="center"/>
            </w:pPr>
            <w:r>
              <w:rPr>
                <w:b/>
              </w:rPr>
              <w:t>Skaidrojums, kādā veidā viedoklis / priekšlikums / iebildums ir ņemts vērā vai ņemts vērā daļēji, vai pamatojums, ja viedoklis / priekšlikums / iebildums nav ņemts vērā</w:t>
            </w:r>
          </w:p>
        </w:tc>
      </w:tr>
      <w:tr w:rsidR="00BF6944" w14:paraId="53900351" w14:textId="77777777">
        <w:tc>
          <w:tcPr>
            <w:tcW w:w="750" w:type="dxa"/>
            <w:shd w:val="clear" w:color="auto" w:fill="FFFFFF"/>
            <w:noWrap/>
            <w:tcMar>
              <w:top w:w="75" w:type="dxa"/>
              <w:left w:w="75" w:type="dxa"/>
              <w:bottom w:w="75" w:type="dxa"/>
              <w:right w:w="75" w:type="dxa"/>
            </w:tcMar>
            <w:vAlign w:val="center"/>
          </w:tcPr>
          <w:p w14:paraId="1FE358F2" w14:textId="2ECE9600" w:rsidR="00BF6944" w:rsidRPr="00BF6944" w:rsidRDefault="00BF6944" w:rsidP="00BF6944">
            <w:pPr>
              <w:pStyle w:val="ListParagraph"/>
              <w:numPr>
                <w:ilvl w:val="0"/>
                <w:numId w:val="1"/>
              </w:numPr>
              <w:jc w:val="center"/>
              <w:rPr>
                <w:b/>
              </w:rPr>
            </w:pPr>
          </w:p>
        </w:tc>
        <w:tc>
          <w:tcPr>
            <w:tcW w:w="4055" w:type="dxa"/>
            <w:shd w:val="clear" w:color="auto" w:fill="FFFFFF"/>
            <w:noWrap/>
            <w:tcMar>
              <w:top w:w="75" w:type="dxa"/>
              <w:left w:w="75" w:type="dxa"/>
              <w:bottom w:w="75" w:type="dxa"/>
              <w:right w:w="75" w:type="dxa"/>
            </w:tcMar>
            <w:vAlign w:val="center"/>
          </w:tcPr>
          <w:p w14:paraId="6FD7EC8A" w14:textId="2226FDE7" w:rsidR="00BF6944" w:rsidRPr="008F1E57" w:rsidRDefault="00BF6944">
            <w:pPr>
              <w:jc w:val="center"/>
              <w:rPr>
                <w:b/>
              </w:rPr>
            </w:pPr>
            <w:r w:rsidRPr="008F1E57">
              <w:rPr>
                <w:b/>
              </w:rPr>
              <w:t>AS "Sadales tīkls"</w:t>
            </w:r>
          </w:p>
        </w:tc>
        <w:tc>
          <w:tcPr>
            <w:tcW w:w="4056" w:type="dxa"/>
            <w:shd w:val="clear" w:color="auto" w:fill="FFFFFF"/>
            <w:noWrap/>
            <w:tcMar>
              <w:top w:w="75" w:type="dxa"/>
              <w:left w:w="75" w:type="dxa"/>
              <w:bottom w:w="75" w:type="dxa"/>
              <w:right w:w="75" w:type="dxa"/>
            </w:tcMar>
            <w:vAlign w:val="center"/>
          </w:tcPr>
          <w:p w14:paraId="5C742634" w14:textId="77777777" w:rsidR="00BF6944" w:rsidRPr="00336305" w:rsidRDefault="00BF6944" w:rsidP="00BF6944">
            <w:r w:rsidRPr="00336305">
              <w:t xml:space="preserve">AS "Sadales tīkls" (turpmāk - ST) ir iepazinusies ar tiesību aktu portālā publiskai apspriešanai izsludinātajiem grozījumiem Ministru kabineta 2014. gada 20. maija noteikumos Nr. 255 "Noteikumi par distances līgumu" (24-TA-1829). Ņemot vērā apstākli, ka ir plānotas diskusijas par noteikuma projektu un tā tekstu,  ST vēlas vērst uzmanību un aktualizēt jautājumu par 14 dienu atteikuma tiesību piemērošanu elektroenerģijas jomā.  Attīstoties elektroenerģijas tirgum un pieaugot </w:t>
            </w:r>
            <w:r w:rsidRPr="00336305">
              <w:lastRenderedPageBreak/>
              <w:t xml:space="preserve">elektroenerģijas lietotāju  aktivitātei, izvēloties piemērotāko elektroenerģijas tirgotāju piedāvājumu, ir kļuvis aktuāls jautājums par 14 dienu atteikumu tiesībām. </w:t>
            </w:r>
          </w:p>
          <w:p w14:paraId="6EEA7161" w14:textId="77777777" w:rsidR="00BF6944" w:rsidRPr="00336305" w:rsidRDefault="00BF6944" w:rsidP="00BF6944">
            <w:r w:rsidRPr="00336305">
              <w:t xml:space="preserve">Saskaņā ar Patērētāju tiesību aizsardzības likuma (turpmāk – PTAL) 12.panta pirmo daļu patērētājs var noteiktā termiņā izmantot atteikuma tiesības un atkāpties no distances līguma. Saskaņā ar PTAL 3.panta 7.punktu patērētāja tiesības ir pārkāptas, ja patērētājam nav dota iespēja realizēt atteikuma tiesības. Attiecīgi uz PTAL pamata izdoto  Ministru kabineta 2014.gada 20.maija noteikumu Nr.255 </w:t>
            </w:r>
            <w:r w:rsidRPr="00336305">
              <w:rPr>
                <w:i/>
                <w:iCs/>
              </w:rPr>
              <w:t>“Noteikumi par distances līgumu”</w:t>
            </w:r>
            <w:r w:rsidRPr="00336305">
              <w:t xml:space="preserve"> (turpmāk – Noteikumi Nr.255) 19.punkts paredz patērētāja likumīgās atteikuma tiesības, un proti, izņemot Noteikumu Nr.255 22.punktā norādītos gadījumus, patērētājs var izmantot atteikuma tiesības un vienpusēji atkāpties no līguma 14 </w:t>
            </w:r>
            <w:r w:rsidRPr="00336305">
              <w:lastRenderedPageBreak/>
              <w:t xml:space="preserve">dienu laikā, sedzot PTAL 12.panta septītajā, devītajā un vienpadsmitajā daļā, kā arī šo noteikumu 23.punktā minētās izmaksas. </w:t>
            </w:r>
          </w:p>
          <w:p w14:paraId="330C83EF" w14:textId="77777777" w:rsidR="00BF6944" w:rsidRPr="00336305" w:rsidRDefault="00BF6944" w:rsidP="00BF6944">
            <w:r w:rsidRPr="00336305">
              <w:t xml:space="preserve">Iepazīstoties ar normatīvajiem aktiem ir konstatējams, ka elektroenerģijas tirdzniecības līgums nav minēts kā viens no izņēmumiem Noteikumu Nr.255 22.punktā norādītajos gadījumos, uz kuru tādējādi nebūtu attiecināmas atteikuma tiesības. Līdz ar to patērētājs (mājsaimniecības lietotājs) ir tiesīgs izmantot augstāk minētajos patērētāju tiesību aizsardzību regulējošos normatīvajos aktos paredzētās atteikuma tiesības un 14 dienu laikā (no līguma noslēgšanas dienas) atkāpties no distancē noslēgtā elektroenerģijas tirdzniecības līguma. Analoģiska normas ir ietvertas arī Eiropas Parlamenta un Padomes 2011.gada 25.oktobra direktīvā 2011/83/ES </w:t>
            </w:r>
            <w:r w:rsidRPr="00336305">
              <w:rPr>
                <w:i/>
                <w:iCs/>
              </w:rPr>
              <w:t xml:space="preserve">par patērētāju tiesībām un ar ko groza Padomes </w:t>
            </w:r>
            <w:r w:rsidRPr="00336305">
              <w:rPr>
                <w:i/>
                <w:iCs/>
              </w:rPr>
              <w:lastRenderedPageBreak/>
              <w:t>Direktīvu 93/13/EEK un Eiropas Parlamenta un Padomes Direktīvu 1999/44/EK un atceļ Padomes Direktīvu 85/577/EEK un Eiropas Parlamenta un Padomes Direktīvu 97/7/EK</w:t>
            </w:r>
            <w:r w:rsidRPr="00336305">
              <w:t xml:space="preserve">, kas ir transponētas nacionālajos tiesību aktos, nosakot, ka 14 dienu atteikuma tiesības ir attiecināmas arī uz </w:t>
            </w:r>
            <w:proofErr w:type="spellStart"/>
            <w:r w:rsidRPr="00336305">
              <w:t>elektroeneģijas</w:t>
            </w:r>
            <w:proofErr w:type="spellEnd"/>
            <w:r w:rsidRPr="00336305">
              <w:t xml:space="preserve"> piegādi.</w:t>
            </w:r>
          </w:p>
          <w:p w14:paraId="022E3EAC" w14:textId="77777777" w:rsidR="00BF6944" w:rsidRPr="00336305" w:rsidRDefault="00BF6944" w:rsidP="00BF6944">
            <w:r w:rsidRPr="00336305">
              <w:t xml:space="preserve">Atbilstoši elektroenerģijas tirgus jomas normatīvajiem aktiem galalietotāja (patērētāja) tiesības mainīt elektroenerģijas tirgotāju noteiktas Elektroenerģijas tirgus likuma 35. panta pirmajā daļā, proti, </w:t>
            </w:r>
            <w:r w:rsidRPr="00336305">
              <w:rPr>
                <w:i/>
                <w:iCs/>
              </w:rPr>
              <w:t>galalietotājam ir tiesības katra mēneša pirmajā datumā bez ierobežojumiem mainīt elektroenerģijas tirgotāju. Attiecīgais sistēmas operators nodrošina elektroenerģijas tirgotāja maiņu termiņā, kas nepārsniedz 14 dienas.</w:t>
            </w:r>
            <w:r w:rsidRPr="00336305">
              <w:t xml:space="preserve"> Sekojoši, sistēmas operatoram ar minēto likuma normu dots laiks līdz 14 dienām, lai veiktu lietotāja tirgotāja maiņu. Attiecīgi ar </w:t>
            </w:r>
            <w:r w:rsidRPr="00336305">
              <w:lastRenderedPageBreak/>
              <w:t>Ministru kabineta 2023. gada 7. novembra noteikumu Nr.635 "Elektroenerģijas tirdzniecības un lietošanas noteikumi" 124.-126.punktiem ir noteikti elektroenerģijas tirgotāja maiņas termiņi, tai skaitā, ierēķinot galalietotāja (patērētāja) 14 dienu atteikuma tiesības.</w:t>
            </w:r>
          </w:p>
          <w:p w14:paraId="4326ED9A" w14:textId="77777777" w:rsidR="00BF6944" w:rsidRPr="00336305" w:rsidRDefault="00BF6944" w:rsidP="00BF6944">
            <w:r w:rsidRPr="00336305">
              <w:t>Vienlaikus būtiski uzsvērt, ka Eiropas Parlamenta un Padomes 2019. gada 5. jūnijs direktīva (ES) 2019/944  </w:t>
            </w:r>
            <w:r w:rsidRPr="00336305">
              <w:rPr>
                <w:i/>
                <w:iCs/>
              </w:rPr>
              <w:t>par kopīgiem noteikumiem attiecībā uz elektroenerģijas iekšējo tirgu un ar ko groza Direktīvu 2012/27/ES</w:t>
            </w:r>
            <w:r w:rsidRPr="00336305">
              <w:t xml:space="preserve"> 12. panta pirmā daļa nosaka, ka </w:t>
            </w:r>
            <w:r w:rsidRPr="00336305">
              <w:rPr>
                <w:i/>
                <w:iCs/>
              </w:rPr>
              <w:t xml:space="preserve">piegādātāju vai tirgus dalībnieku, kas iesaistīti </w:t>
            </w:r>
            <w:proofErr w:type="spellStart"/>
            <w:r w:rsidRPr="00336305">
              <w:rPr>
                <w:i/>
                <w:iCs/>
              </w:rPr>
              <w:t>agregēšanā</w:t>
            </w:r>
            <w:proofErr w:type="spellEnd"/>
            <w:r w:rsidRPr="00336305">
              <w:rPr>
                <w:i/>
                <w:iCs/>
              </w:rPr>
              <w:t xml:space="preserve">, maiņu veic pēc iespējas īsākā laikā. Dalībvalstis nodrošina, ka lietotājam, kas vēlas mainīt piegādātājus vai tirgus dalībnieku, kas iesaistīts </w:t>
            </w:r>
            <w:proofErr w:type="spellStart"/>
            <w:r w:rsidRPr="00336305">
              <w:rPr>
                <w:i/>
                <w:iCs/>
              </w:rPr>
              <w:t>agregēšanā</w:t>
            </w:r>
            <w:proofErr w:type="spellEnd"/>
            <w:r w:rsidRPr="00336305">
              <w:rPr>
                <w:i/>
                <w:iCs/>
              </w:rPr>
              <w:t xml:space="preserve">, vienlaikus ievērojot līguma noteikumus, ir tiesības veikt maiņu maksimāli trīs nedēļu laikā no pieprasījuma dienas. Vēlākais no </w:t>
            </w:r>
            <w:r w:rsidRPr="00336305">
              <w:rPr>
                <w:i/>
                <w:iCs/>
              </w:rPr>
              <w:lastRenderedPageBreak/>
              <w:t xml:space="preserve">2026. gada </w:t>
            </w:r>
            <w:r w:rsidRPr="00336305">
              <w:rPr>
                <w:i/>
                <w:iCs/>
                <w:u w:val="single"/>
              </w:rPr>
              <w:t>piegādātāju maiņas tehniskais process nav ilgāks par 24 stundām, un to ir iespējams īstenot jebkurā darbdienā</w:t>
            </w:r>
            <w:r w:rsidRPr="00336305">
              <w:rPr>
                <w:i/>
                <w:iCs/>
              </w:rPr>
              <w:t xml:space="preserve">. </w:t>
            </w:r>
            <w:r w:rsidRPr="00336305">
              <w:t xml:space="preserve">Līdz ar to ir prognozējams, ka nākotnē (no 2026.gada 1.janvāra) ir plānots pāriet uz daudz elastīgāku elektroenerģijas tirgotāju maiņas procesu un elektroenerģijas tirgotāju maiņai būs jānotiek vienas darbdienas laikā, būtiski mainot esošo kārtību, kas paredz, ka elektroenerģijas tirgotāju maiņa notiek mēneša pirmajā datumā. Ņemot vērā apstākli, ka no 2026.gada 1.janvāra elektroenerģijas tirgotāja maiņai ir jānotiek vienas darbdienas laikā, tad aktuāls jautājums ir par lietotāja (patērētāja) 14 dienu atteikuma tiesībām, vai šādā gadījumā, kad elektroenerģijas tirdzniecības līgums ir noslēgts ar distances saziņas līdzekļiem, lietotajam (patērētājam) ir tiesības izmantot atteikuma tiesības pēc tam, kad elektroenerģijas tirgotājs, jau ir sācis nodrošināt </w:t>
            </w:r>
            <w:proofErr w:type="spellStart"/>
            <w:r w:rsidRPr="00336305">
              <w:lastRenderedPageBreak/>
              <w:t>elektroenerģiajs</w:t>
            </w:r>
            <w:proofErr w:type="spellEnd"/>
            <w:r w:rsidRPr="00336305">
              <w:t xml:space="preserve"> piegādi attiecīgajam objektam.</w:t>
            </w:r>
          </w:p>
          <w:p w14:paraId="477611BA" w14:textId="77777777" w:rsidR="00BF6944" w:rsidRPr="00336305" w:rsidRDefault="00BF6944" w:rsidP="00BF6944">
            <w:r w:rsidRPr="00336305">
              <w:t xml:space="preserve">ST ieskatā, gadījumos, kad ir sākta līguma izpilde un uzsākta elektroenerģijas piegāde lietotāja objektam, tad patērētājam (lietotājam) vairs nav iespējama atteikuma tiesību izmantošana, jo pakalpojums pēc būtības jau tiek sniegts, piegādāta elektroenerģija, veikta tā uzskaite un aprēķini. </w:t>
            </w:r>
          </w:p>
          <w:p w14:paraId="1792E2D1" w14:textId="77777777" w:rsidR="00BF6944" w:rsidRPr="00336305" w:rsidRDefault="00BF6944" w:rsidP="00BF6944">
            <w:r w:rsidRPr="00336305">
              <w:t xml:space="preserve">Lai nodrošinātu vienotu izpratni par 14 dienu atteikuma tiesībām ST lūdz izvērtēt iespēju Noteikumu Nr.255 paredzēt papildus izņēmumu, ka 14 dienu atteikuma tiesības nav piemērojamas, ja tiek slēgts elektroenerģijas tirdzniecības vai sadales sistēmas pakalpojuma līgums. Minētā izņēmuma iekļaušana ir ļoti būtiska no elektroenerģijas tirgus darbības procesiem, jo piegādāto un uzskaitīto elektroenerģijas galalietotāja (patērētāja) objektam nav iespējams fiziski atgriezt, kā arī nav iespējams atjaunot </w:t>
            </w:r>
            <w:r w:rsidRPr="00336305">
              <w:lastRenderedPageBreak/>
              <w:t xml:space="preserve">iepriekšējo stāvokli kāds pastāvēja pirms elektroenerģijas tirdzniecības līguma noslēgšanas un elektroenerģijas piegādes. Attīstoties elektroenerģijas tirgum un ar normatīvajiem aktiem ieviešot dažādus produktus (neto norēķinu sistēma, </w:t>
            </w:r>
            <w:proofErr w:type="spellStart"/>
            <w:r w:rsidRPr="00336305">
              <w:t>energokopienas</w:t>
            </w:r>
            <w:proofErr w:type="spellEnd"/>
            <w:r w:rsidRPr="00336305">
              <w:t xml:space="preserve">) ir būtiski viest skaidrību par regulējuma tvērumu un tā piemērošanas aspektiem, jo īpaši situācijā, ka Direktīva 2019/944 paredz elektroenerģijas tirgotāju maiņu nodrošināt 24 stundās. </w:t>
            </w:r>
          </w:p>
          <w:p w14:paraId="79142205" w14:textId="77777777" w:rsidR="00BF6944" w:rsidRPr="00336305" w:rsidRDefault="00BF6944" w:rsidP="00BF6944">
            <w:r w:rsidRPr="00336305">
              <w:t xml:space="preserve">14 dienu atteikuma tiesību institūts paredz lietotājam (patērētājam) tiesības atteikties no noslēgtā līguma, kas </w:t>
            </w:r>
            <w:proofErr w:type="spellStart"/>
            <w:r w:rsidRPr="00336305">
              <w:t>neprezumē</w:t>
            </w:r>
            <w:proofErr w:type="spellEnd"/>
            <w:r w:rsidRPr="00336305">
              <w:t xml:space="preserve">, atgriezt galalietotājam (patērētājam) iepriekšējo stāvokli, kas pastāvēja pirms jaunā līguma noslēgšanas, ko vairums no galalietotājiem (patērētājiem) uzskata. Respektīvi, mainot elektroenerģijas tirgotāju, galalietotājs (patērētājs) lauž iepriekš noslēgto elektroenerģijas tirdzniecības līgumu. Lai </w:t>
            </w:r>
            <w:r w:rsidRPr="00336305">
              <w:lastRenderedPageBreak/>
              <w:t>aizsargātu patērētāju intereses un izpratni par 14 dienu atteikuma tiesību izmantošanu, elektroenerģijas tirdzniecības jomā, ST ieskatā Noteikumi Nr.255 būtu papildināmi ar papildus nosacījumu, ka 14 dienu atteikuma tiesības nebūtu attiecināmas uz elektroenerģijas tirdzniecības un sadales sistēmas pakalpojuma līgumiem vai noteikts, ka šādas tiesības nav izmantojamas, ja galalietotājs ir sācis saņemt elektroenerģiju tā objektā.</w:t>
            </w:r>
          </w:p>
          <w:p w14:paraId="146A1F91" w14:textId="77777777" w:rsidR="00BF6944" w:rsidRPr="00336305" w:rsidRDefault="00BF6944" w:rsidP="00BF6944">
            <w:r w:rsidRPr="00336305">
              <w:t xml:space="preserve">Ja šāda veida izņēmumu nav iespējams ietvert ņemot vērā Eiropas Savienības regulējumu, lūdzam sniegt viedokli, vai šādos gadījumos, kad notiks elektroenerģijas tirgotāja maiņa, vienas darbdienas ietvaros, būtu piemērojams Noteikumu Nr.255 22.punkts, kurā noteikts, ka </w:t>
            </w:r>
            <w:r w:rsidRPr="00336305">
              <w:rPr>
                <w:i/>
                <w:iCs/>
                <w:u w:val="single"/>
              </w:rPr>
              <w:t xml:space="preserve">Patērētājs nevar izmantot atteikuma tiesības, ja pilnībā ir pabeigta pakalpojuma sniegšana, kura tika uzsākta pirms atteikuma </w:t>
            </w:r>
            <w:r w:rsidRPr="00336305">
              <w:rPr>
                <w:i/>
                <w:iCs/>
                <w:u w:val="single"/>
              </w:rPr>
              <w:lastRenderedPageBreak/>
              <w:t>tiesību termiņa beigām, ja patērētājs ir skaidri piekritis un apliecinājis, ka viņš zaudēs atteikuma tiesības no dienas, kad līgums par pakalpojuma sniegšanu būs pilnībā izpildīts</w:t>
            </w:r>
            <w:r w:rsidRPr="00336305">
              <w:rPr>
                <w:i/>
                <w:iCs/>
              </w:rPr>
              <w:t xml:space="preserve">. Šis noteikums neattiecas uz pakalpojumiem, kuru rezultātā tiek izgatavota kustama ķermeniska lieta. </w:t>
            </w:r>
            <w:r w:rsidRPr="00336305">
              <w:rPr>
                <w:i/>
                <w:iCs/>
                <w:u w:val="single"/>
              </w:rPr>
              <w:t>Pakalpojuma sniedzējam ir pienākums patērētāja apliecinājumu un skaidru piekrišanu iegūt tikai attiecībā uz tiem līgumiem, saskaņā ar kuriem patērētājam ir pienākums maksāt</w:t>
            </w:r>
            <w:r w:rsidRPr="00336305">
              <w:rPr>
                <w:i/>
                <w:iCs/>
              </w:rPr>
              <w:t>.</w:t>
            </w:r>
          </w:p>
          <w:p w14:paraId="499A65EA" w14:textId="0A73DE81" w:rsidR="00BF6944" w:rsidRPr="00BF6944" w:rsidRDefault="00BF6944" w:rsidP="00BF6944">
            <w:r w:rsidRPr="00336305">
              <w:br/>
              <w:t xml:space="preserve">Ņemot vērā, ka Noteikumu Nr.255 22.1. apakšpunktā uzsvars tiek likts uz pakalpojuma izpildi, tad lūdzam sniegt viedokli, vai par pakalpojuma izpildi tiek uzskatīti gadījumi, kad elektroenerģijas tirgotājs ir uzsācis un galalietotājs patērējis tam piegādāto elektroenerģiju tā norādītajā objektā. </w:t>
            </w:r>
          </w:p>
        </w:tc>
        <w:tc>
          <w:tcPr>
            <w:tcW w:w="1650" w:type="dxa"/>
            <w:shd w:val="clear" w:color="auto" w:fill="FFFFFF"/>
            <w:noWrap/>
            <w:tcMar>
              <w:top w:w="75" w:type="dxa"/>
              <w:left w:w="75" w:type="dxa"/>
              <w:bottom w:w="75" w:type="dxa"/>
              <w:right w:w="75" w:type="dxa"/>
            </w:tcMar>
            <w:vAlign w:val="center"/>
          </w:tcPr>
          <w:p w14:paraId="43449E8B" w14:textId="73AF6310" w:rsidR="00BF6944" w:rsidRDefault="001449A0">
            <w:pPr>
              <w:jc w:val="center"/>
              <w:rPr>
                <w:b/>
              </w:rPr>
            </w:pPr>
            <w:r>
              <w:rPr>
                <w:b/>
              </w:rPr>
              <w:lastRenderedPageBreak/>
              <w:t>Nav ņemts vērā</w:t>
            </w:r>
          </w:p>
        </w:tc>
        <w:tc>
          <w:tcPr>
            <w:tcW w:w="4056" w:type="dxa"/>
            <w:shd w:val="clear" w:color="auto" w:fill="FFFFFF"/>
            <w:noWrap/>
            <w:tcMar>
              <w:top w:w="75" w:type="dxa"/>
              <w:left w:w="75" w:type="dxa"/>
              <w:bottom w:w="75" w:type="dxa"/>
              <w:right w:w="75" w:type="dxa"/>
            </w:tcMar>
            <w:vAlign w:val="center"/>
          </w:tcPr>
          <w:p w14:paraId="3A3FA35C" w14:textId="77777777" w:rsidR="00BF6944" w:rsidRDefault="001449A0" w:rsidP="001449A0">
            <w:pPr>
              <w:rPr>
                <w:bCs/>
              </w:rPr>
            </w:pPr>
            <w:r w:rsidRPr="001449A0">
              <w:rPr>
                <w:bCs/>
              </w:rPr>
              <w:t xml:space="preserve">Ekonomikas ministrija ir izskatījusi </w:t>
            </w:r>
            <w:r>
              <w:rPr>
                <w:bCs/>
              </w:rPr>
              <w:t xml:space="preserve">AS “Sadales tīkls” iesniegto viedokli par Noteikumu projektu. </w:t>
            </w:r>
          </w:p>
          <w:p w14:paraId="522A4BC4" w14:textId="77777777" w:rsidR="001449A0" w:rsidRDefault="001449A0" w:rsidP="001449A0">
            <w:pPr>
              <w:rPr>
                <w:bCs/>
              </w:rPr>
            </w:pPr>
            <w:r>
              <w:rPr>
                <w:bCs/>
              </w:rPr>
              <w:t xml:space="preserve">Ministrija norāda, ka šāda veida izņēmums Noteikumos nebūtu iekļaujams, ņemot vērā, ka </w:t>
            </w:r>
            <w:r w:rsidR="00CC3A27">
              <w:rPr>
                <w:bCs/>
              </w:rPr>
              <w:t xml:space="preserve">patērētājam ir jānodrošina tiesības atteikties no distancē noslēgta līguma 14 dienu laikā, un šīs tiesības cita starpā ir attiecināmas arī uz elektroenerģijas pakalpojumu saņemšanu, līdzīgi kā tas ir ar gāzes, ūdens vai telekomunikāciju pakalpojumu saņemšanu. </w:t>
            </w:r>
          </w:p>
          <w:p w14:paraId="6016F206" w14:textId="67C94099" w:rsidR="002F6D82" w:rsidRDefault="002F6D82" w:rsidP="001449A0">
            <w:pPr>
              <w:rPr>
                <w:bCs/>
              </w:rPr>
            </w:pPr>
            <w:r>
              <w:rPr>
                <w:bCs/>
              </w:rPr>
              <w:lastRenderedPageBreak/>
              <w:t xml:space="preserve">Ministrija saprot, ka saņemto elektroenerģijas pakalpojumu nav iespējams atgriezt atpakaļ, taču ir jāņem vērā, ka šis nevar būt par iemeslu atteikuma tiesību </w:t>
            </w:r>
            <w:r w:rsidR="00F47D3E">
              <w:rPr>
                <w:bCs/>
              </w:rPr>
              <w:t>nenodrošināšanai.</w:t>
            </w:r>
          </w:p>
          <w:p w14:paraId="63F19194" w14:textId="6BB3E29E" w:rsidR="002F6D82" w:rsidRDefault="00CC3A27" w:rsidP="001449A0">
            <w:pPr>
              <w:rPr>
                <w:bCs/>
              </w:rPr>
            </w:pPr>
            <w:r>
              <w:rPr>
                <w:bCs/>
              </w:rPr>
              <w:t>Norādām, ka atteikuma tiesības neizslēdz patērētāja pienākumu veikt attiecīgu apmaksu par saņemtajiem pakalpojumiem</w:t>
            </w:r>
            <w:r w:rsidR="002F6D82">
              <w:rPr>
                <w:bCs/>
              </w:rPr>
              <w:t xml:space="preserve"> - kā ir noteikts šo noteikumu </w:t>
            </w:r>
            <w:r w:rsidR="002F3473">
              <w:rPr>
                <w:bCs/>
              </w:rPr>
              <w:t xml:space="preserve">18., 24. un konkrēti </w:t>
            </w:r>
            <w:r w:rsidR="002F6D82">
              <w:rPr>
                <w:bCs/>
              </w:rPr>
              <w:t>23.punktā “</w:t>
            </w:r>
            <w:r w:rsidR="002F6D82" w:rsidRPr="002F6D82">
              <w:rPr>
                <w:bCs/>
                <w:i/>
                <w:iCs/>
              </w:rPr>
              <w:t>Ja patērētājs izmanto atteikuma tiesības pēc tam, kad ir iesniedzis pakalpojuma sniedzējam pieprasījumu saskaņā ar šo noteikumu 18. punktu, patērētājs maksā pakalpojuma sniedzējam summu, kas attiecībā pret pilnu līguma izpildi ir proporcionāla izpildītajai līguma daļai brīdī, kad patērētājs informē pakalpojuma sniedzēju par atteikuma tiesību izmantošanu</w:t>
            </w:r>
            <w:r w:rsidR="002F6D82">
              <w:rPr>
                <w:bCs/>
                <w:i/>
                <w:iCs/>
              </w:rPr>
              <w:t xml:space="preserve"> [..]</w:t>
            </w:r>
            <w:r w:rsidR="002F6D82">
              <w:rPr>
                <w:bCs/>
              </w:rPr>
              <w:t xml:space="preserve">”. </w:t>
            </w:r>
          </w:p>
          <w:p w14:paraId="3A8320D9" w14:textId="542DA170" w:rsidR="002F6D82" w:rsidRPr="001449A0" w:rsidRDefault="002F6D82" w:rsidP="001449A0">
            <w:pPr>
              <w:rPr>
                <w:bCs/>
              </w:rPr>
            </w:pPr>
            <w:r>
              <w:rPr>
                <w:bCs/>
              </w:rPr>
              <w:t xml:space="preserve">Attiecībā uz 22.1.apakšpunktā minēto “pakalpojuma izpildi”, norādām, ka </w:t>
            </w:r>
            <w:r w:rsidR="00D92CCC">
              <w:rPr>
                <w:bCs/>
              </w:rPr>
              <w:t xml:space="preserve">elektroenerģijas patēriņš pēc būtības ir </w:t>
            </w:r>
            <w:r w:rsidR="00D92CCC">
              <w:rPr>
                <w:bCs/>
              </w:rPr>
              <w:lastRenderedPageBreak/>
              <w:t>nepārtraukts, tāpēc nevar uzskatīt, ka pakalpojuma izpilde ir pabeigta</w:t>
            </w:r>
            <w:r w:rsidR="0036284B">
              <w:rPr>
                <w:bCs/>
              </w:rPr>
              <w:t>. P</w:t>
            </w:r>
            <w:r w:rsidR="00F47D3E">
              <w:rPr>
                <w:bCs/>
              </w:rPr>
              <w:t xml:space="preserve">akalpojums tiek turpināts sniegt līdz brīdim, kad konkrētais līgums tiek pārtraukts. </w:t>
            </w:r>
          </w:p>
        </w:tc>
      </w:tr>
      <w:tr w:rsidR="007A6A21" w14:paraId="2A6A4A44" w14:textId="77777777">
        <w:tc>
          <w:tcPr>
            <w:tcW w:w="750" w:type="dxa"/>
            <w:shd w:val="clear" w:color="auto" w:fill="FFFFFF"/>
            <w:noWrap/>
            <w:tcMar>
              <w:top w:w="75" w:type="dxa"/>
              <w:left w:w="75" w:type="dxa"/>
              <w:bottom w:w="75" w:type="dxa"/>
              <w:right w:w="75" w:type="dxa"/>
            </w:tcMar>
            <w:vAlign w:val="center"/>
          </w:tcPr>
          <w:p w14:paraId="57208631" w14:textId="77777777" w:rsidR="007A6A21" w:rsidRPr="00BF6944" w:rsidRDefault="007A6A21" w:rsidP="00BF6944">
            <w:pPr>
              <w:pStyle w:val="ListParagraph"/>
              <w:numPr>
                <w:ilvl w:val="0"/>
                <w:numId w:val="1"/>
              </w:numPr>
              <w:jc w:val="center"/>
              <w:rPr>
                <w:b/>
              </w:rPr>
            </w:pPr>
          </w:p>
        </w:tc>
        <w:tc>
          <w:tcPr>
            <w:tcW w:w="4055" w:type="dxa"/>
            <w:shd w:val="clear" w:color="auto" w:fill="FFFFFF"/>
            <w:noWrap/>
            <w:tcMar>
              <w:top w:w="75" w:type="dxa"/>
              <w:left w:w="75" w:type="dxa"/>
              <w:bottom w:w="75" w:type="dxa"/>
              <w:right w:w="75" w:type="dxa"/>
            </w:tcMar>
            <w:vAlign w:val="center"/>
          </w:tcPr>
          <w:p w14:paraId="15C8F346" w14:textId="07560BD4" w:rsidR="007A6A21" w:rsidRPr="008F1E57" w:rsidRDefault="007A6A21">
            <w:pPr>
              <w:jc w:val="center"/>
              <w:rPr>
                <w:b/>
              </w:rPr>
            </w:pPr>
            <w:r w:rsidRPr="008F1E57">
              <w:rPr>
                <w:b/>
              </w:rPr>
              <w:t>Latvijas Tirdzniecības un rūpniecības kamera</w:t>
            </w:r>
          </w:p>
        </w:tc>
        <w:tc>
          <w:tcPr>
            <w:tcW w:w="4056" w:type="dxa"/>
            <w:shd w:val="clear" w:color="auto" w:fill="FFFFFF"/>
            <w:noWrap/>
            <w:tcMar>
              <w:top w:w="75" w:type="dxa"/>
              <w:left w:w="75" w:type="dxa"/>
              <w:bottom w:w="75" w:type="dxa"/>
              <w:right w:w="75" w:type="dxa"/>
            </w:tcMar>
            <w:vAlign w:val="center"/>
          </w:tcPr>
          <w:p w14:paraId="2622F102" w14:textId="77777777" w:rsidR="007A6A21" w:rsidRPr="007A6A21" w:rsidRDefault="007A6A21" w:rsidP="007A6A21">
            <w:pPr>
              <w:spacing w:line="276" w:lineRule="auto"/>
              <w:ind w:firstLine="720"/>
            </w:pPr>
            <w:r w:rsidRPr="007A6A21">
              <w:t xml:space="preserve">Latvijas Tirdzniecības un rūpniecības kamera (turpmāk – LTRK) ir izvērtējusi Ekonomikas ministrijas izstrādātos tiesību aktu projektus “Grozījumi Ministru kabineta 2014. gada 20. maija noteikumos Nr. 254 "Noteikumi par līgumu, kas noslēgts ārpus pastāvīgās saimnieciskās vai profesionālās darbības vietas"” (24-TA-1828) un "Grozījumi Ministru kabineta 2014. gada 20. maija noteikumos Nr. 255 "Noteikumi par distances līgumu"" (24-TA-1829), kas abi izstrādāti saistībā ar Zaļā pārkārtošanās akta (Eiropas Parlamenta un Padomes 2024. gada 28. februāra Direktīva (ES) 2024/825, ar ko attiecībā uz patērētāju dalības veicināšanu zaļās pārkārtošanās procesā, nodrošinot viņiem labāku aizsardzību pret negodīgu praksi </w:t>
            </w:r>
            <w:r w:rsidRPr="007A6A21">
              <w:lastRenderedPageBreak/>
              <w:t>un labāku informētību, groza Direktīvas 2005/29/EK un 2011/83/ES) prasību pārņemšanu.</w:t>
            </w:r>
          </w:p>
          <w:p w14:paraId="2584A734" w14:textId="77777777" w:rsidR="007A6A21" w:rsidRPr="007A6A21" w:rsidRDefault="007A6A21" w:rsidP="007A6A21">
            <w:pPr>
              <w:spacing w:line="276" w:lineRule="auto"/>
              <w:ind w:firstLine="720"/>
            </w:pPr>
            <w:r w:rsidRPr="007A6A21">
              <w:t xml:space="preserve">Saistībā ar direktīvas pārņemšanu ir izstrādāti arī divi likumprojekti, kas šobrīd tiek skatīti Saeimā - „Grozījumi Negodīgas </w:t>
            </w:r>
            <w:proofErr w:type="spellStart"/>
            <w:r w:rsidRPr="007A6A21">
              <w:t>komercprakses</w:t>
            </w:r>
            <w:proofErr w:type="spellEnd"/>
            <w:r w:rsidRPr="007A6A21">
              <w:t xml:space="preserve"> aizlieguma likumā” un „Grozījumi Patērētāju tiesību aizsardzības likumā”. Vērtējot gan direktīvu, gan abus izstrādātos likumprojektus, rodas iespaids, ka direktīva pēc būtības jau tiek pārņemta ar likumprojektiem, piemēram, direktīvā ietvertās definīcijas un papildinājumi maldinošai </w:t>
            </w:r>
            <w:proofErr w:type="spellStart"/>
            <w:r w:rsidRPr="007A6A21">
              <w:t>komercpraksei</w:t>
            </w:r>
            <w:proofErr w:type="spellEnd"/>
            <w:r w:rsidRPr="007A6A21">
              <w:t xml:space="preserve"> tiek iestrādāti Negodīgas </w:t>
            </w:r>
            <w:proofErr w:type="spellStart"/>
            <w:r w:rsidRPr="007A6A21">
              <w:t>komercprakses</w:t>
            </w:r>
            <w:proofErr w:type="spellEnd"/>
            <w:r w:rsidRPr="007A6A21">
              <w:t xml:space="preserve"> aizlieguma likumā. </w:t>
            </w:r>
          </w:p>
          <w:p w14:paraId="5929865E" w14:textId="3297F674" w:rsidR="007A6A21" w:rsidRPr="007A6A21" w:rsidRDefault="007A6A21" w:rsidP="007A6A21">
            <w:pPr>
              <w:spacing w:line="276" w:lineRule="auto"/>
              <w:ind w:firstLine="720"/>
            </w:pPr>
            <w:r w:rsidRPr="007A6A21">
              <w:t xml:space="preserve">Savukārt, vērtējot abu noteikumu projektu mērķus, norādāms, ka tiem pēc būtības nav nekādas saistības ar direktīvas </w:t>
            </w:r>
            <w:r w:rsidRPr="007A6A21">
              <w:lastRenderedPageBreak/>
              <w:t>mērķi - mazināt pircēju maldināšanu ar nepārbaudāmu, nesalīdzināmu un dažkārt pat absurdu informāciju. LTRK ieskatā direktīvas mērķis ir atbalstāms, taču abu noteikumu mērķis ir pārņemt direktīvu (birokrātisks), neatbildot uz direktīvas pamatjautājumiem. LTRK ieskatā direktīva primāri prasa valsts institūciju atbildību kontrolē, lai ražotājs vai tirgotājs uz preču iepakojuma nenorādītu jebkādu maldinošu informāciju. Taču direktīva neuzliek pienākumu izvietot nemaldinošu informāciju, kā tas izriet no tiesību aktu projektiem. Proti, LTRK ieskatā pastāv pretrunas starp to, ko direktīva vēlas risināt, un to, kā prasību pārņemšana tiek īstenota nacionālajā regulējumā.</w:t>
            </w:r>
          </w:p>
        </w:tc>
        <w:tc>
          <w:tcPr>
            <w:tcW w:w="1650" w:type="dxa"/>
            <w:shd w:val="clear" w:color="auto" w:fill="FFFFFF"/>
            <w:noWrap/>
            <w:tcMar>
              <w:top w:w="75" w:type="dxa"/>
              <w:left w:w="75" w:type="dxa"/>
              <w:bottom w:w="75" w:type="dxa"/>
              <w:right w:w="75" w:type="dxa"/>
            </w:tcMar>
            <w:vAlign w:val="center"/>
          </w:tcPr>
          <w:p w14:paraId="291497FF" w14:textId="11AB82BD" w:rsidR="007A6A21" w:rsidRDefault="000814B3">
            <w:pPr>
              <w:jc w:val="center"/>
              <w:rPr>
                <w:b/>
              </w:rPr>
            </w:pPr>
            <w:r>
              <w:rPr>
                <w:b/>
              </w:rPr>
              <w:lastRenderedPageBreak/>
              <w:t>Nav ņemts vērā</w:t>
            </w:r>
          </w:p>
        </w:tc>
        <w:tc>
          <w:tcPr>
            <w:tcW w:w="4056" w:type="dxa"/>
            <w:shd w:val="clear" w:color="auto" w:fill="FFFFFF"/>
            <w:noWrap/>
            <w:tcMar>
              <w:top w:w="75" w:type="dxa"/>
              <w:left w:w="75" w:type="dxa"/>
              <w:bottom w:w="75" w:type="dxa"/>
              <w:right w:w="75" w:type="dxa"/>
            </w:tcMar>
            <w:vAlign w:val="center"/>
          </w:tcPr>
          <w:p w14:paraId="6B52301C" w14:textId="77777777" w:rsidR="000814B3" w:rsidRDefault="000814B3" w:rsidP="000814B3">
            <w:pPr>
              <w:rPr>
                <w:bCs/>
              </w:rPr>
            </w:pPr>
            <w:r>
              <w:rPr>
                <w:bCs/>
              </w:rPr>
              <w:t>Ekonomikas ministrija ir izskatījusi LTRK viedokli attiecībā uz šo noteikumu projektu, kā arī noteikumu projektu “Grozījumi Ministru kabineta 2014. gada 20. maija noteikumos Nr.255 "</w:t>
            </w:r>
            <w:r>
              <w:rPr>
                <w:bCs/>
                <w:i/>
                <w:iCs/>
              </w:rPr>
              <w:t>Noteikumi par distances līgumu</w:t>
            </w:r>
            <w:r>
              <w:rPr>
                <w:bCs/>
              </w:rPr>
              <w:t xml:space="preserve">””. </w:t>
            </w:r>
          </w:p>
          <w:p w14:paraId="4B0C884C" w14:textId="77777777" w:rsidR="000814B3" w:rsidRDefault="000814B3" w:rsidP="000814B3">
            <w:pPr>
              <w:rPr>
                <w:bCs/>
              </w:rPr>
            </w:pPr>
            <w:r>
              <w:rPr>
                <w:bCs/>
              </w:rPr>
              <w:t xml:space="preserve">Ministrija norāda, ka, pārņemot Direktīvas prasības, tiek veikti grozījumi kopumā 4 normatīvajos aktos. Abi iepriekš minētie Ministru kabineta noteikumi tiek grozīti, ņemot vērā, ka tajos ir ietvertas atsevišķas informēšanas prasības līgumiem, kas noslēgti ārpus pastāvīgās tirdzniecības vietas vai distances līgumiem, un konkrētās prasības nav ietvertas nevienā citā normatīvajā aktā, piemēram, Patērētāju tiesību aizsardzības likuma normās. </w:t>
            </w:r>
          </w:p>
          <w:p w14:paraId="3AD5BBA1" w14:textId="77777777" w:rsidR="000814B3" w:rsidRDefault="000814B3" w:rsidP="000814B3">
            <w:pPr>
              <w:rPr>
                <w:bCs/>
              </w:rPr>
            </w:pPr>
            <w:r>
              <w:rPr>
                <w:bCs/>
              </w:rPr>
              <w:t xml:space="preserve">Noteikumu projekta mērķis ir, atbilstoši Direktīvas prasībām, precizēt atsevišķus noteikumu punktus attiecībā uz informēšanas pienākumu, kā arī papildināt Noteikumus ar vairākiem jauniem </w:t>
            </w:r>
            <w:r>
              <w:rPr>
                <w:bCs/>
              </w:rPr>
              <w:lastRenderedPageBreak/>
              <w:t xml:space="preserve">punktiem, kas cita starpā paredz, piemēram, sniegt informāciju, izmantojot saskaņoto paziņojumu un saskaņoto marķējumu, jo šī prasība atbilstoši Direktīvai attiecas arī uz tādiem līgumiem, kas noslēgti ārpus pastāvīgās tirdzniecības vietas vai izmantojot distances līgumus starpniecību. Attiecīgi, lai minētās normas būtu iespējams piemērot, ir jāveic atbilstoši grozījumi Ministru kabineta noteikumos. </w:t>
            </w:r>
          </w:p>
          <w:p w14:paraId="1617CEEE" w14:textId="77777777" w:rsidR="007A6A21" w:rsidRDefault="007A6A21" w:rsidP="000814B3">
            <w:pPr>
              <w:rPr>
                <w:b/>
              </w:rPr>
            </w:pPr>
          </w:p>
        </w:tc>
      </w:tr>
    </w:tbl>
    <w:p w14:paraId="73FAAD0D" w14:textId="77777777" w:rsidR="00D33F95" w:rsidRDefault="00D33F95"/>
    <w:tbl>
      <w:tblPr>
        <w:tblStyle w:val="a"/>
        <w:tblW w:w="14567" w:type="dxa"/>
        <w:tblLayout w:type="fixed"/>
        <w:tblLook w:val="0600" w:firstRow="0" w:lastRow="0" w:firstColumn="0" w:lastColumn="0" w:noHBand="1" w:noVBand="1"/>
      </w:tblPr>
      <w:tblGrid>
        <w:gridCol w:w="4855"/>
        <w:gridCol w:w="4856"/>
        <w:gridCol w:w="4856"/>
      </w:tblGrid>
      <w:tr w:rsidR="00D33F95" w14:paraId="109E0D3A" w14:textId="77777777">
        <w:tc>
          <w:tcPr>
            <w:tcW w:w="4855" w:type="dxa"/>
            <w:shd w:val="clear" w:color="auto" w:fill="FFFFFF"/>
            <w:noWrap/>
            <w:tcMar>
              <w:top w:w="75" w:type="dxa"/>
              <w:left w:w="75" w:type="dxa"/>
              <w:bottom w:w="75" w:type="dxa"/>
              <w:right w:w="75" w:type="dxa"/>
            </w:tcMar>
            <w:vAlign w:val="center"/>
          </w:tcPr>
          <w:p w14:paraId="72CDCFBE" w14:textId="77777777" w:rsidR="00D33F95"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5CA7AE53" w14:textId="77777777" w:rsidR="00D33F95" w:rsidRDefault="00D33F95">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7D77B33" w14:textId="77777777" w:rsidR="00D33F95" w:rsidRDefault="00D33F95"/>
        </w:tc>
      </w:tr>
      <w:tr w:rsidR="00D33F95" w14:paraId="64EF4124" w14:textId="77777777">
        <w:tc>
          <w:tcPr>
            <w:tcW w:w="4855" w:type="dxa"/>
            <w:shd w:val="clear" w:color="auto" w:fill="FFFFFF"/>
            <w:noWrap/>
            <w:tcMar>
              <w:top w:w="75" w:type="dxa"/>
              <w:left w:w="75" w:type="dxa"/>
              <w:bottom w:w="75" w:type="dxa"/>
              <w:right w:w="75" w:type="dxa"/>
            </w:tcMar>
            <w:vAlign w:val="center"/>
          </w:tcPr>
          <w:p w14:paraId="1A6E184E" w14:textId="77777777" w:rsidR="00D33F95" w:rsidRDefault="00D33F95"/>
        </w:tc>
        <w:tc>
          <w:tcPr>
            <w:tcW w:w="4856" w:type="dxa"/>
            <w:shd w:val="clear" w:color="auto" w:fill="FFFFFF"/>
            <w:noWrap/>
            <w:tcMar>
              <w:top w:w="75" w:type="dxa"/>
              <w:left w:w="75" w:type="dxa"/>
              <w:bottom w:w="75" w:type="dxa"/>
              <w:right w:w="75" w:type="dxa"/>
            </w:tcMar>
            <w:vAlign w:val="center"/>
          </w:tcPr>
          <w:p w14:paraId="0CA71E96" w14:textId="77777777" w:rsidR="00D33F95"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024D2774" w14:textId="77777777" w:rsidR="00D33F95" w:rsidRDefault="00D33F95"/>
        </w:tc>
      </w:tr>
      <w:tr w:rsidR="00D33F95" w14:paraId="6A3E81B4" w14:textId="77777777">
        <w:tc>
          <w:tcPr>
            <w:tcW w:w="4855" w:type="dxa"/>
            <w:shd w:val="clear" w:color="auto" w:fill="FFFFFF"/>
            <w:noWrap/>
            <w:tcMar>
              <w:top w:w="75" w:type="dxa"/>
              <w:left w:w="75" w:type="dxa"/>
              <w:bottom w:w="75" w:type="dxa"/>
              <w:right w:w="75" w:type="dxa"/>
            </w:tcMar>
            <w:vAlign w:val="center"/>
          </w:tcPr>
          <w:p w14:paraId="49A2DE2B" w14:textId="77777777" w:rsidR="00D33F95"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0831EB2B" w14:textId="15C3FD7B" w:rsidR="00D33F95" w:rsidRDefault="00BF6944">
            <w:pPr>
              <w:pBdr>
                <w:bottom w:val="single" w:sz="10" w:space="1" w:color="000000"/>
              </w:pBdr>
            </w:pPr>
            <w:r>
              <w:t>Santa Buša</w:t>
            </w:r>
          </w:p>
        </w:tc>
        <w:tc>
          <w:tcPr>
            <w:tcW w:w="4856" w:type="dxa"/>
            <w:shd w:val="clear" w:color="auto" w:fill="FFFFFF"/>
            <w:noWrap/>
            <w:tcMar>
              <w:top w:w="75" w:type="dxa"/>
              <w:left w:w="75" w:type="dxa"/>
              <w:bottom w:w="75" w:type="dxa"/>
              <w:right w:w="75" w:type="dxa"/>
            </w:tcMar>
            <w:vAlign w:val="center"/>
          </w:tcPr>
          <w:p w14:paraId="7E179866" w14:textId="77777777" w:rsidR="00D33F95" w:rsidRDefault="00D33F95"/>
        </w:tc>
      </w:tr>
      <w:tr w:rsidR="00D33F95" w14:paraId="27AEC000" w14:textId="77777777">
        <w:tc>
          <w:tcPr>
            <w:tcW w:w="4855" w:type="dxa"/>
            <w:shd w:val="clear" w:color="auto" w:fill="FFFFFF"/>
            <w:noWrap/>
            <w:tcMar>
              <w:top w:w="75" w:type="dxa"/>
              <w:left w:w="75" w:type="dxa"/>
              <w:bottom w:w="75" w:type="dxa"/>
              <w:right w:w="75" w:type="dxa"/>
            </w:tcMar>
            <w:vAlign w:val="center"/>
          </w:tcPr>
          <w:p w14:paraId="7B02D1F2" w14:textId="77777777" w:rsidR="00D33F95" w:rsidRDefault="00D33F95"/>
        </w:tc>
        <w:tc>
          <w:tcPr>
            <w:tcW w:w="4856" w:type="dxa"/>
            <w:shd w:val="clear" w:color="auto" w:fill="FFFFFF"/>
            <w:noWrap/>
            <w:tcMar>
              <w:top w:w="75" w:type="dxa"/>
              <w:left w:w="75" w:type="dxa"/>
              <w:bottom w:w="75" w:type="dxa"/>
              <w:right w:w="75" w:type="dxa"/>
            </w:tcMar>
            <w:vAlign w:val="center"/>
          </w:tcPr>
          <w:p w14:paraId="363D1EE9" w14:textId="77777777" w:rsidR="00D33F95"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61D79CFF" w14:textId="77777777" w:rsidR="00D33F95" w:rsidRDefault="00D33F95"/>
        </w:tc>
      </w:tr>
    </w:tbl>
    <w:p w14:paraId="76087FE9" w14:textId="77777777" w:rsidR="00D33F95" w:rsidRDefault="00D33F95"/>
    <w:p w14:paraId="3F200B86" w14:textId="77777777" w:rsidR="00D33F95" w:rsidRDefault="00000000">
      <w:r>
        <w:t>Piezīmes.</w:t>
      </w:r>
    </w:p>
    <w:p w14:paraId="4B66F383" w14:textId="77777777" w:rsidR="00D33F95" w:rsidRDefault="00000000">
      <w:r>
        <w:t>* Iesniedzējs (fiziskai personai – vārds, uzvārds, juridiskai personai – nosaukums) var tikt publiskots, ja viņš tam ir piekritis. Ja attiecināms, iesniedzējs norāda interešu pārstāvja reģistrācijas numuru.</w:t>
      </w:r>
    </w:p>
    <w:p w14:paraId="4798CEA4" w14:textId="77777777" w:rsidR="00D33F95" w:rsidRDefault="00000000">
      <w:r>
        <w:t>** Dokumenta rekvizītus "datums" un "paraksts" neaizpilda, ja elektroniskais dokuments ir sagatavots atbilstoši normatīvajiem aktiem par elektronisko dokumentu noformēšanu.</w:t>
      </w:r>
    </w:p>
    <w:sectPr w:rsidR="00D33F95">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9B56B" w14:textId="77777777" w:rsidR="008E1B82" w:rsidRDefault="008E1B82">
      <w:r>
        <w:separator/>
      </w:r>
    </w:p>
  </w:endnote>
  <w:endnote w:type="continuationSeparator" w:id="0">
    <w:p w14:paraId="6EED0546" w14:textId="77777777" w:rsidR="008E1B82" w:rsidRDefault="008E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CE3C" w14:textId="45D7FF8F" w:rsidR="00D33F95" w:rsidRDefault="00000000">
    <w:pPr>
      <w:jc w:val="right"/>
    </w:pPr>
    <w:r>
      <w:rPr>
        <w:sz w:val="24"/>
        <w:szCs w:val="24"/>
      </w:rPr>
      <w:fldChar w:fldCharType="begin"/>
    </w:r>
    <w:r>
      <w:rPr>
        <w:sz w:val="24"/>
        <w:szCs w:val="24"/>
      </w:rPr>
      <w:instrText>PAGE</w:instrText>
    </w:r>
    <w:r>
      <w:rPr>
        <w:sz w:val="24"/>
        <w:szCs w:val="24"/>
      </w:rPr>
      <w:fldChar w:fldCharType="separate"/>
    </w:r>
    <w:r w:rsidR="00BF694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BE38" w14:textId="77777777" w:rsidR="00AA23FF"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12876" w14:textId="77777777" w:rsidR="008E1B82" w:rsidRDefault="008E1B82">
      <w:r>
        <w:separator/>
      </w:r>
    </w:p>
  </w:footnote>
  <w:footnote w:type="continuationSeparator" w:id="0">
    <w:p w14:paraId="4299558B" w14:textId="77777777" w:rsidR="008E1B82" w:rsidRDefault="008E1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1363" w14:textId="77777777" w:rsidR="00D33F95" w:rsidRDefault="00000000">
    <w:pPr>
      <w:pStyle w:val="Header"/>
      <w:contextualSpacing w:val="0"/>
    </w:pPr>
    <w:r>
      <w:t>Viedokļu pārskats 24-TA-1829</w:t>
    </w:r>
    <w:r>
      <w:br/>
      <w:t>Izdrukāts 30.01.2025. 11.34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D266" w14:textId="77777777" w:rsidR="00D33F95" w:rsidRDefault="00000000">
    <w:pPr>
      <w:pStyle w:val="Header"/>
      <w:contextualSpacing w:val="0"/>
    </w:pPr>
    <w:r>
      <w:t>Viedokļu pārskats 24-TA-1829</w:t>
    </w:r>
    <w:r>
      <w:br/>
      <w:t>Izdrukāts 30.01.2025. 11.34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23EC6"/>
    <w:multiLevelType w:val="hybridMultilevel"/>
    <w:tmpl w:val="66F682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248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33F95"/>
    <w:rsid w:val="000570C5"/>
    <w:rsid w:val="000814B3"/>
    <w:rsid w:val="001449A0"/>
    <w:rsid w:val="0014773E"/>
    <w:rsid w:val="002079DA"/>
    <w:rsid w:val="00220DBA"/>
    <w:rsid w:val="002551F7"/>
    <w:rsid w:val="002F0D86"/>
    <w:rsid w:val="002F3473"/>
    <w:rsid w:val="002F6D82"/>
    <w:rsid w:val="0036284B"/>
    <w:rsid w:val="00484BEB"/>
    <w:rsid w:val="004B19CF"/>
    <w:rsid w:val="00525911"/>
    <w:rsid w:val="005F427A"/>
    <w:rsid w:val="005F6FC4"/>
    <w:rsid w:val="007A6A21"/>
    <w:rsid w:val="008C4CCA"/>
    <w:rsid w:val="008E1B82"/>
    <w:rsid w:val="008F1E57"/>
    <w:rsid w:val="00A11E42"/>
    <w:rsid w:val="00A50911"/>
    <w:rsid w:val="00A6744B"/>
    <w:rsid w:val="00AA23FF"/>
    <w:rsid w:val="00BF6944"/>
    <w:rsid w:val="00CC3A27"/>
    <w:rsid w:val="00D33F95"/>
    <w:rsid w:val="00D833B9"/>
    <w:rsid w:val="00D92CCC"/>
    <w:rsid w:val="00EB312C"/>
    <w:rsid w:val="00F47D3E"/>
    <w:rsid w:val="00FB7E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3F8A"/>
  <w15:docId w15:val="{ACF81B49-5A72-4C56-9132-79D8E0FD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BF6944"/>
    <w:pPr>
      <w:ind w:left="720"/>
      <w:contextualSpacing/>
    </w:pPr>
  </w:style>
  <w:style w:type="character" w:styleId="Hyperlink">
    <w:name w:val="Hyperlink"/>
    <w:basedOn w:val="DefaultParagraphFont"/>
    <w:uiPriority w:val="99"/>
    <w:unhideWhenUsed/>
    <w:rsid w:val="002F6D82"/>
    <w:rPr>
      <w:color w:val="467886" w:themeColor="hyperlink"/>
      <w:u w:val="single"/>
    </w:rPr>
  </w:style>
  <w:style w:type="character" w:styleId="UnresolvedMention">
    <w:name w:val="Unresolved Mention"/>
    <w:basedOn w:val="DefaultParagraphFont"/>
    <w:uiPriority w:val="99"/>
    <w:semiHidden/>
    <w:unhideWhenUsed/>
    <w:rsid w:val="002F6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078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14</Pages>
  <Words>8853</Words>
  <Characters>5047</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viedoklu_parskats_24-TA-1829.docx</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viedoklu_parskats_24-TA-1829.docx</dc:title>
  <cp:lastModifiedBy>Santa Buša</cp:lastModifiedBy>
  <cp:revision>17</cp:revision>
  <dcterms:created xsi:type="dcterms:W3CDTF">2025-01-30T09:35:00Z</dcterms:created>
  <dcterms:modified xsi:type="dcterms:W3CDTF">2025-02-12T11:15:00Z</dcterms:modified>
</cp:coreProperties>
</file>