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54B0B7" w14:textId="4900589D" w:rsidR="00DE4643" w:rsidRDefault="00C576C0">
      <w:pPr>
        <w:spacing w:after="240"/>
        <w:jc w:val="center"/>
        <w:rPr>
          <w:b/>
        </w:rPr>
      </w:pPr>
      <w:r>
        <w:rPr>
          <w:b/>
        </w:rPr>
        <w:t>“Publiskās apspriešanas laikā 21.08.2025. - 04.09.2025. saņemto viedokļu, priekšlikumu un iebildumu apkopojums par Grozījumi Ministru kabineta 2010. gada 21. septembra noteikumos Nr.</w:t>
      </w:r>
      <w:r>
        <w:rPr>
          <w:b/>
        </w:rPr>
        <w:t>899 "Likuma "Par iedzīvotāju ienākuma nodokli" normu piemērošanas kārtība"”</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DE4643" w14:paraId="05D7E531" w14:textId="77777777">
        <w:tc>
          <w:tcPr>
            <w:tcW w:w="750" w:type="dxa"/>
            <w:shd w:val="clear" w:color="auto" w:fill="FFFFFF"/>
            <w:noWrap/>
            <w:tcMar>
              <w:top w:w="75" w:type="dxa"/>
              <w:left w:w="75" w:type="dxa"/>
              <w:bottom w:w="75" w:type="dxa"/>
              <w:right w:w="75" w:type="dxa"/>
            </w:tcMar>
            <w:vAlign w:val="center"/>
          </w:tcPr>
          <w:p w14:paraId="4D0C40CF" w14:textId="77777777" w:rsidR="00DE4643" w:rsidRDefault="00C576C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6A1F276E" w14:textId="77777777" w:rsidR="00DE4643" w:rsidRDefault="00C576C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483885D2" w14:textId="77777777" w:rsidR="00DE4643" w:rsidRDefault="00C576C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B72A17B" w14:textId="77777777" w:rsidR="00DE4643" w:rsidRDefault="00C576C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7A9BD82" w14:textId="77777777" w:rsidR="00DE4643" w:rsidRDefault="00C576C0">
            <w:pPr>
              <w:jc w:val="center"/>
            </w:pPr>
            <w:r>
              <w:rPr>
                <w:b/>
              </w:rPr>
              <w:t>Skaidrojums, kādā veidā viedoklis / priekšlikums / iebildums ir ņemts vērā vai ņemts vērā daļēji, vai pamatojums, ja viedoklis / priekšlikums / iebildums nav ņemts vērā</w:t>
            </w:r>
          </w:p>
        </w:tc>
      </w:tr>
      <w:tr w:rsidR="00DE4643" w14:paraId="284474A1" w14:textId="77777777">
        <w:tc>
          <w:tcPr>
            <w:tcW w:w="750" w:type="dxa"/>
            <w:shd w:val="clear" w:color="auto" w:fill="FFFFFF"/>
            <w:noWrap/>
            <w:tcMar>
              <w:top w:w="75" w:type="dxa"/>
              <w:left w:w="75" w:type="dxa"/>
              <w:bottom w:w="75" w:type="dxa"/>
              <w:right w:w="75" w:type="dxa"/>
            </w:tcMar>
            <w:vAlign w:val="center"/>
          </w:tcPr>
          <w:p w14:paraId="46804EC9" w14:textId="77777777" w:rsidR="00DE4643" w:rsidRDefault="00C576C0">
            <w:pPr>
              <w:jc w:val="center"/>
            </w:pPr>
            <w:r>
              <w:t>1.</w:t>
            </w:r>
          </w:p>
        </w:tc>
        <w:tc>
          <w:tcPr>
            <w:tcW w:w="4055" w:type="dxa"/>
            <w:shd w:val="clear" w:color="auto" w:fill="FFFFFF"/>
            <w:noWrap/>
            <w:tcMar>
              <w:top w:w="75" w:type="dxa"/>
              <w:left w:w="75" w:type="dxa"/>
              <w:bottom w:w="75" w:type="dxa"/>
              <w:right w:w="75" w:type="dxa"/>
            </w:tcMar>
            <w:vAlign w:val="center"/>
          </w:tcPr>
          <w:p w14:paraId="435B4185" w14:textId="77777777" w:rsidR="00DE4643" w:rsidRDefault="00C576C0">
            <w:pPr>
              <w:jc w:val="left"/>
            </w:pPr>
            <w:r>
              <w:t xml:space="preserve">Latvijas Tirgotāju asociācija, Henriks </w:t>
            </w:r>
            <w:proofErr w:type="spellStart"/>
            <w:r>
              <w:t>Danusēvičs</w:t>
            </w:r>
            <w:proofErr w:type="spellEnd"/>
          </w:p>
        </w:tc>
        <w:tc>
          <w:tcPr>
            <w:tcW w:w="4056" w:type="dxa"/>
            <w:shd w:val="clear" w:color="auto" w:fill="FFFFFF"/>
            <w:noWrap/>
            <w:tcMar>
              <w:top w:w="75" w:type="dxa"/>
              <w:left w:w="75" w:type="dxa"/>
              <w:bottom w:w="75" w:type="dxa"/>
              <w:right w:w="75" w:type="dxa"/>
            </w:tcMar>
            <w:vAlign w:val="center"/>
          </w:tcPr>
          <w:p w14:paraId="1EED769E" w14:textId="77777777" w:rsidR="00DE4643" w:rsidRDefault="00C576C0">
            <w:pPr>
              <w:jc w:val="left"/>
            </w:pPr>
            <w:r>
              <w:t>Atbilstoši iepriekšējām diskusijām Finanšu ministrijā un VID aicinām vienkāršot ēdināšanas izdevumu uzskaiti, piemēram, darbiniekam iesniedzot kopējo mēneša pārskatu par izdevumiem un atspoguļojot to grāmatvedībā kopējā summā par mēnesi, pievienojot izdevumu apstiprinošos dokumentus.</w:t>
            </w:r>
          </w:p>
        </w:tc>
        <w:tc>
          <w:tcPr>
            <w:tcW w:w="1650" w:type="dxa"/>
            <w:shd w:val="clear" w:color="auto" w:fill="FFFFFF"/>
            <w:noWrap/>
            <w:tcMar>
              <w:top w:w="75" w:type="dxa"/>
              <w:left w:w="75" w:type="dxa"/>
              <w:bottom w:w="75" w:type="dxa"/>
              <w:right w:w="75" w:type="dxa"/>
            </w:tcMar>
            <w:vAlign w:val="center"/>
          </w:tcPr>
          <w:p w14:paraId="16EC4313" w14:textId="5AFA9136" w:rsidR="00DE4643" w:rsidRDefault="00C576C0">
            <w:pPr>
              <w:jc w:val="left"/>
            </w:pPr>
            <w:r>
              <w:t>Ņemts vērā</w:t>
            </w:r>
          </w:p>
        </w:tc>
        <w:tc>
          <w:tcPr>
            <w:tcW w:w="4056" w:type="dxa"/>
            <w:shd w:val="clear" w:color="auto" w:fill="FFFFFF"/>
            <w:noWrap/>
            <w:tcMar>
              <w:top w:w="75" w:type="dxa"/>
              <w:left w:w="75" w:type="dxa"/>
              <w:bottom w:w="75" w:type="dxa"/>
              <w:right w:w="75" w:type="dxa"/>
            </w:tcMar>
            <w:vAlign w:val="center"/>
          </w:tcPr>
          <w:p w14:paraId="2184321B" w14:textId="77777777" w:rsidR="00C576C0" w:rsidRDefault="00C576C0" w:rsidP="00C576C0">
            <w:r>
              <w:t xml:space="preserve">Vēršam uzmanību, ka ēdināšanas izdevumu uzskaite uzņēmuma grāmatvedībā tiek norādīta saskaņā ar grāmatvedības normatīvajiem aktiem. </w:t>
            </w:r>
          </w:p>
          <w:p w14:paraId="00D5E1CF" w14:textId="67830827" w:rsidR="00DE4643" w:rsidRDefault="00C576C0" w:rsidP="00C576C0">
            <w:r>
              <w:t>Ministru kabineta noteikumu projekts paredz, ka piemērojot likuma “Par iedzīvotāju ienākuma nodokli” 8.panta piecpadsmito daļu darba devējs iesniedz Valsts ieņēmumu dienestam paziņojumu par fiziskajai personai izmaksātajām summām līdz nākamā gada 1. februārim</w:t>
            </w:r>
          </w:p>
        </w:tc>
      </w:tr>
      <w:tr w:rsidR="00DE4643" w14:paraId="38F4DF38" w14:textId="77777777">
        <w:tc>
          <w:tcPr>
            <w:tcW w:w="750" w:type="dxa"/>
            <w:shd w:val="clear" w:color="auto" w:fill="FFFFFF"/>
            <w:noWrap/>
            <w:tcMar>
              <w:top w:w="75" w:type="dxa"/>
              <w:left w:w="75" w:type="dxa"/>
              <w:bottom w:w="75" w:type="dxa"/>
              <w:right w:w="75" w:type="dxa"/>
            </w:tcMar>
            <w:vAlign w:val="center"/>
          </w:tcPr>
          <w:p w14:paraId="653B0154" w14:textId="77777777" w:rsidR="00DE4643" w:rsidRDefault="00C576C0">
            <w:pPr>
              <w:jc w:val="center"/>
            </w:pPr>
            <w:r>
              <w:t>2.</w:t>
            </w:r>
          </w:p>
        </w:tc>
        <w:tc>
          <w:tcPr>
            <w:tcW w:w="4055" w:type="dxa"/>
            <w:shd w:val="clear" w:color="auto" w:fill="FFFFFF"/>
            <w:noWrap/>
            <w:tcMar>
              <w:top w:w="75" w:type="dxa"/>
              <w:left w:w="75" w:type="dxa"/>
              <w:bottom w:w="75" w:type="dxa"/>
              <w:right w:w="75" w:type="dxa"/>
            </w:tcMar>
            <w:vAlign w:val="center"/>
          </w:tcPr>
          <w:p w14:paraId="23AEEBBD" w14:textId="77777777" w:rsidR="00DE4643" w:rsidRDefault="00C576C0">
            <w:pPr>
              <w:jc w:val="left"/>
            </w:pPr>
            <w:r>
              <w:t>Latvijas Republikas Grāmatvežu asociācija</w:t>
            </w:r>
          </w:p>
        </w:tc>
        <w:tc>
          <w:tcPr>
            <w:tcW w:w="4056" w:type="dxa"/>
            <w:shd w:val="clear" w:color="auto" w:fill="FFFFFF"/>
            <w:noWrap/>
            <w:tcMar>
              <w:top w:w="75" w:type="dxa"/>
              <w:left w:w="75" w:type="dxa"/>
              <w:bottom w:w="75" w:type="dxa"/>
              <w:right w:w="75" w:type="dxa"/>
            </w:tcMar>
            <w:vAlign w:val="center"/>
          </w:tcPr>
          <w:p w14:paraId="08968954" w14:textId="77777777" w:rsidR="00DE4643" w:rsidRDefault="00C576C0">
            <w:pPr>
              <w:jc w:val="left"/>
            </w:pPr>
            <w:r>
              <w:rPr>
                <w:b/>
              </w:rPr>
              <w:t xml:space="preserve">Attiecībā uz  grozījumiem MK noteikumos Nr.899 "Likuma "Par iedzīvotāju ienākuma </w:t>
            </w:r>
            <w:proofErr w:type="spellStart"/>
            <w:r>
              <w:rPr>
                <w:b/>
              </w:rPr>
              <w:t>nodokli"normu</w:t>
            </w:r>
            <w:proofErr w:type="spellEnd"/>
            <w:r>
              <w:rPr>
                <w:b/>
              </w:rPr>
              <w:t xml:space="preserve"> piemērošanas kārtība, LRGA izsaka viedokli un priekšlikumus par sekojošiem punktiem</w:t>
            </w:r>
            <w:r>
              <w:t>:</w:t>
            </w:r>
            <w:r>
              <w:br/>
            </w:r>
            <w:r>
              <w:lastRenderedPageBreak/>
              <w:br/>
            </w:r>
            <w:r w:rsidRPr="00C576C0">
              <w:rPr>
                <w:b/>
              </w:rPr>
              <w:t>18.</w:t>
            </w:r>
            <w:r w:rsidRPr="00C576C0">
              <w:rPr>
                <w:b/>
                <w:vertAlign w:val="superscript"/>
              </w:rPr>
              <w:t>2</w:t>
            </w:r>
            <w:r w:rsidRPr="00C576C0">
              <w:rPr>
                <w:b/>
              </w:rPr>
              <w:t>12.</w:t>
            </w:r>
            <w:r>
              <w:t xml:space="preserve"> darbinieka izdevumu kompensācija par darbinieka veikto elektroenerģijas uzlādi darbinieka dzīvesvietā darba devēja piederošam transportlīdzeklim, </w:t>
            </w:r>
            <w:r>
              <w:rPr>
                <w:b/>
              </w:rPr>
              <w:t>kam transportlīdzekļu reģistrā kā degvielas veids norādīta elektrība,</w:t>
            </w:r>
            <w:r>
              <w:t xml:space="preserve"> neatkarīgi no tā, vai attiecīgais transportlīdzeklis ir izmantots tikai saimnieciskajā darbībā, pamatojoties uz faktiski nobraukto kilometru skaitu katrā mēnesī saskaņā ar transportlīdzeklim ražotāja izsniegtā transportlīdzekļa atbilstības sertifikātā (“EC </w:t>
            </w:r>
            <w:proofErr w:type="spellStart"/>
            <w:r>
              <w:t>Certificate</w:t>
            </w:r>
            <w:proofErr w:type="spellEnd"/>
            <w:r>
              <w:t xml:space="preserve"> </w:t>
            </w:r>
            <w:proofErr w:type="spellStart"/>
            <w:r>
              <w:t>of</w:t>
            </w:r>
            <w:proofErr w:type="spellEnd"/>
            <w:r>
              <w:t xml:space="preserve"> </w:t>
            </w:r>
            <w:proofErr w:type="spellStart"/>
            <w:r>
              <w:t>Conformity</w:t>
            </w:r>
            <w:proofErr w:type="spellEnd"/>
            <w:r>
              <w:t>”) norādīto a</w:t>
            </w:r>
            <w:r>
              <w:t xml:space="preserve">ugstāko elektroenerģijas patēriņa normu, kura nav pārsniegta vairāk par 20 procentiem, </w:t>
            </w:r>
            <w:r>
              <w:rPr>
                <w:u w:val="single"/>
              </w:rPr>
              <w:t>ja ir izpildīti šādi kritēriji:</w:t>
            </w:r>
            <w:r>
              <w:br/>
            </w:r>
            <w:r>
              <w:br/>
            </w:r>
            <w:r>
              <w:rPr>
                <w:b/>
              </w:rPr>
              <w:t xml:space="preserve">Priekšlikums- </w:t>
            </w:r>
            <w:r>
              <w:t xml:space="preserve">Papildināt  šo apakšpunktu aiz vārdiem "kā degvielas veids norādīta elektrība” </w:t>
            </w:r>
            <w:r>
              <w:lastRenderedPageBreak/>
              <w:t>:  "Elektrība un benzīns" vai "Elektrība un dīzeļdegviela" vai sniegt skaidrojumu anotācijā.</w:t>
            </w:r>
            <w:r>
              <w:br/>
            </w:r>
            <w:r>
              <w:rPr>
                <w:b/>
              </w:rPr>
              <w:t>Pamatojums- </w:t>
            </w:r>
            <w:r>
              <w:br/>
            </w:r>
            <w:r>
              <w:t xml:space="preserve">tehniskajā apliecībā un CSDD  transportlīdzekļu reģistrā </w:t>
            </w:r>
            <w:proofErr w:type="spellStart"/>
            <w:r>
              <w:t>hibrīdauto</w:t>
            </w:r>
            <w:proofErr w:type="spellEnd"/>
            <w:r>
              <w:t>  pie degvielas veida  ir norādīta kā degviela ne tikai elektrība, bet arī benzīns vai dīzeļdegviela. No dotās redakcijas  nav</w:t>
            </w:r>
            <w:r>
              <w:t xml:space="preserve"> skaidrs kā rīkoties šajā gadījumā, vai šis punkts iekļauj arī šo kombinēto gadījumu vai pilnīgi pietiekami, ja viens degvielas veidiem ir elektrība?</w:t>
            </w:r>
            <w:r>
              <w:br/>
            </w:r>
            <w:r>
              <w:br/>
            </w:r>
            <w:r w:rsidRPr="00C576C0">
              <w:rPr>
                <w:b/>
              </w:rPr>
              <w:t>apakšpunkts 18.</w:t>
            </w:r>
            <w:r w:rsidRPr="00C576C0">
              <w:rPr>
                <w:b/>
                <w:vertAlign w:val="superscript"/>
              </w:rPr>
              <w:t>2</w:t>
            </w:r>
            <w:r w:rsidRPr="00C576C0">
              <w:rPr>
                <w:b/>
              </w:rPr>
              <w:t>12.2.</w:t>
            </w:r>
            <w:r>
              <w:t> - līgums ar elektroenerģijas piegādātāju darbinieka dzīvesvietā ir noslēgts starp darbinieku un elektroenerģijas piegādātāju;</w:t>
            </w:r>
            <w:r>
              <w:br/>
            </w:r>
            <w:r>
              <w:br/>
            </w:r>
            <w:r>
              <w:rPr>
                <w:b/>
              </w:rPr>
              <w:t>Priekšlikums-</w:t>
            </w:r>
            <w:r>
              <w:br/>
            </w:r>
            <w:r>
              <w:rPr>
                <w:b/>
              </w:rPr>
              <w:t xml:space="preserve">Izslēgt </w:t>
            </w:r>
            <w:r>
              <w:t>punktu 18.</w:t>
            </w:r>
            <w:r>
              <w:rPr>
                <w:vertAlign w:val="superscript"/>
              </w:rPr>
              <w:t>2</w:t>
            </w:r>
            <w:r>
              <w:t>12.2. līgums ar elektroenerģijas piegādātāju darbinieka dzīvesvietā ir noslēgts starp darbinieku un elektroenerģijas piegādātāju;</w:t>
            </w:r>
            <w:r>
              <w:br/>
            </w:r>
            <w:r>
              <w:rPr>
                <w:b/>
              </w:rPr>
              <w:t>Pamatojums-</w:t>
            </w:r>
            <w:r>
              <w:t>  darbiniekam ne vienmēr ir noslēgts līgums  ar elektroenerģijas piegādātāju, jo to var noslēgt jebkurš ģimenes loceklis kas tur dzīvo vai kam pieder īpašums un tas var nebūt darbinieks, līdz ar to tāda veida r</w:t>
            </w:r>
            <w:r>
              <w:t xml:space="preserve">edakcija neveicinās uz 100% darba devēja motivāciju attiecībā uz </w:t>
            </w:r>
            <w:proofErr w:type="spellStart"/>
            <w:r>
              <w:t>elektrotransportlīdzekļa</w:t>
            </w:r>
            <w:proofErr w:type="spellEnd"/>
            <w:r>
              <w:t xml:space="preserve"> iekļaušanu savā uzņēmuma autotransporta parkā, kā tas norādīts anotācijā.  Tāpēc uzskatam, ka ir pietiekami ja iesniedz elektroenerģijas rēķinu no dzīvesvietas  ( punkts 18.</w:t>
            </w:r>
            <w:r>
              <w:rPr>
                <w:vertAlign w:val="superscript"/>
              </w:rPr>
              <w:t>2</w:t>
            </w:r>
            <w:r>
              <w:t xml:space="preserve">12.4.) , kuru darba devējs kompensē grāmatvedības organizācijas dokumentos </w:t>
            </w:r>
            <w:proofErr w:type="spellStart"/>
            <w:r>
              <w:t>notektajā</w:t>
            </w:r>
            <w:proofErr w:type="spellEnd"/>
            <w:r>
              <w:t xml:space="preserve"> kārtībā.</w:t>
            </w:r>
            <w:r>
              <w:br/>
            </w:r>
            <w:r>
              <w:br/>
            </w:r>
            <w:r w:rsidRPr="00C576C0">
              <w:rPr>
                <w:b/>
              </w:rPr>
              <w:t>Punkta 34.</w:t>
            </w:r>
            <w:r w:rsidRPr="00C576C0">
              <w:rPr>
                <w:b/>
                <w:vertAlign w:val="superscript"/>
              </w:rPr>
              <w:t>4</w:t>
            </w:r>
            <w:r w:rsidRPr="00C576C0">
              <w:rPr>
                <w:b/>
              </w:rPr>
              <w:t xml:space="preserve"> , apakšpunkts 34.</w:t>
            </w:r>
            <w:r w:rsidRPr="00C576C0">
              <w:rPr>
                <w:b/>
                <w:vertAlign w:val="superscript"/>
              </w:rPr>
              <w:t>4</w:t>
            </w:r>
            <w:r w:rsidRPr="00C576C0">
              <w:rPr>
                <w:b/>
              </w:rPr>
              <w:t>5</w:t>
            </w:r>
            <w:r>
              <w:rPr>
                <w:b/>
                <w:vertAlign w:val="superscript"/>
              </w:rPr>
              <w:t>. </w:t>
            </w:r>
            <w:r>
              <w:br/>
            </w:r>
            <w:r>
              <w:t>34.</w:t>
            </w:r>
            <w:r>
              <w:rPr>
                <w:vertAlign w:val="superscript"/>
              </w:rPr>
              <w:t>4 </w:t>
            </w:r>
            <w:r>
              <w:t>Likuma 8. panta piecpadsmitajā daļā minētajos izdevumos tiek ietverti šādi darbinieka izdevumi, ja tie ir noteikti darba koplīgumā un ir pamatoti ar attiecīgos izdevumus apliecinošiem ārējiem attaisnojuma dokumentiem:</w:t>
            </w:r>
            <w:r>
              <w:br/>
            </w:r>
            <w:r>
              <w:t>34.</w:t>
            </w:r>
            <w:r>
              <w:rPr>
                <w:vertAlign w:val="superscript"/>
              </w:rPr>
              <w:t>4</w:t>
            </w:r>
            <w:r>
              <w:t xml:space="preserve">5. transporta izdevumi (izdevumi par sabiedriskā transporta biļetēm, degvielas izdevumi, </w:t>
            </w:r>
            <w:r>
              <w:rPr>
                <w:b/>
              </w:rPr>
              <w:t xml:space="preserve">izdevumi par taksometra izmantošanu </w:t>
            </w:r>
            <w:r>
              <w:t>u. tml., lai darbinieks nokļūtu no dzīvesvietas uz darbu un no darba uz dzīvesvietu) (likuma 8. panta piecpadsmitās daļas piemērošanas piemērs – šo noteikumu</w:t>
            </w:r>
            <w:r>
              <w:t xml:space="preserve"> 1.3 pielikumā).</w:t>
            </w:r>
            <w:r>
              <w:br/>
            </w:r>
            <w:r>
              <w:br/>
            </w:r>
            <w:r>
              <w:rPr>
                <w:b/>
              </w:rPr>
              <w:t>Priekšlikums- </w:t>
            </w:r>
            <w:r>
              <w:br/>
            </w:r>
            <w:r>
              <w:t>Precizēt  anotācijā  34.</w:t>
            </w:r>
            <w:r>
              <w:rPr>
                <w:vertAlign w:val="superscript"/>
              </w:rPr>
              <w:t>4</w:t>
            </w:r>
            <w:r>
              <w:t>5.  apakšpunktu  par transporta izdevumiem sakarā ar taksometra izmantošanu. Patreizējā redakcijā saprotam, ka ar taksometru varēs braukt katru dienu, galvenais nosacījums-iekļauties atvieglojuma apmērā.</w:t>
            </w:r>
            <w:r>
              <w:br/>
            </w:r>
            <w:proofErr w:type="spellStart"/>
            <w:r>
              <w:rPr>
                <w:b/>
              </w:rPr>
              <w:t>Iesakam</w:t>
            </w:r>
            <w:proofErr w:type="spellEnd"/>
            <w:r>
              <w:rPr>
                <w:b/>
              </w:rPr>
              <w:t xml:space="preserve"> </w:t>
            </w:r>
            <w:r>
              <w:t xml:space="preserve">pievienot piebildi, ka izdevumi ar  taksometru  kompensējami, ja nokļūšana uz darbu vai no darba ar sabiedrisko transportu nav iespējama. No rakstītā izriet ka  tiem, kuriem ir koplīgums, var braukt uz/no darba ar </w:t>
            </w:r>
            <w:proofErr w:type="spellStart"/>
            <w:r>
              <w:t>taxi</w:t>
            </w:r>
            <w:proofErr w:type="spellEnd"/>
            <w:r>
              <w:t xml:space="preserve"> katru dienu. Esam pret </w:t>
            </w:r>
            <w:r>
              <w:t>naudas līdzekļu izšķērdēšanu, īpaši ja tās ir iestādes, kas lieto nodokļu maksātāju naudu.</w:t>
            </w:r>
            <w:r>
              <w:br/>
            </w:r>
            <w:r>
              <w:br/>
            </w:r>
            <w:r w:rsidRPr="00C576C0">
              <w:rPr>
                <w:b/>
              </w:rPr>
              <w:t>117.</w:t>
            </w:r>
            <w:r w:rsidRPr="00C576C0">
              <w:rPr>
                <w:b/>
                <w:vertAlign w:val="superscript"/>
              </w:rPr>
              <w:t>1</w:t>
            </w:r>
            <w:r w:rsidRPr="00C576C0">
              <w:rPr>
                <w:b/>
              </w:rPr>
              <w:t> punkts-</w:t>
            </w:r>
            <w:r>
              <w:rPr>
                <w:b/>
                <w:vertAlign w:val="superscript"/>
              </w:rPr>
              <w:t> </w:t>
            </w:r>
            <w:r>
              <w:t xml:space="preserve">Šo noteikumu 117. punkts nav attiecināms uz likuma 8. panta piecpadsmitajā daļā norādītajiem darba devēja apmaksātajiem darba koplīgumā noteiktajiem darbinieka  ēdināšanas izdevumiem, ārstniecības izdevumiem, izdevumiem, kas saistīti ar darbinieka pārcelšanos uz citu dzīvesvietu, izmitināšanas izdevumiem un transporta izdevumiem. Par šādiem izdevumiem ir sniedzams šo noteikumu </w:t>
            </w:r>
            <w:r>
              <w:rPr>
                <w:b/>
              </w:rPr>
              <w:t xml:space="preserve">116. punktā minētais paziņojums, </w:t>
            </w:r>
            <w:r>
              <w:t>izdalot informāciju atsevišķi par katru minēto izdevumu veidu.</w:t>
            </w:r>
            <w:r>
              <w:br/>
            </w:r>
            <w:r>
              <w:br/>
            </w:r>
            <w:r>
              <w:t>Ar kuru datumu šis punkts stājas s</w:t>
            </w:r>
            <w:r>
              <w:t xml:space="preserve">pēkā ? </w:t>
            </w:r>
            <w:r>
              <w:rPr>
                <w:b/>
              </w:rPr>
              <w:t xml:space="preserve">Priekšlikums </w:t>
            </w:r>
            <w:r>
              <w:t>- tam būtu jāstājas spēkā ar 2026.gadu,  jo:</w:t>
            </w:r>
            <w:r>
              <w:br/>
            </w:r>
            <w:r>
              <w:t>1) nav iespējams tik ātri pārtaisīt programmas un ieviest izmaiņas;</w:t>
            </w:r>
            <w:r>
              <w:br/>
            </w:r>
            <w:r>
              <w:t>2) nav iespējams visus aprēķinus izlabot, lai varētu šīs summas iekļaut Paziņojumā par 2025.gadu.</w:t>
            </w:r>
            <w:r>
              <w:br/>
            </w:r>
            <w:r>
              <w:br/>
            </w:r>
            <w:r>
              <w:rPr>
                <w:b/>
              </w:rPr>
              <w:t>Pamatojums-</w:t>
            </w:r>
            <w:r>
              <w:t> no  grozījumiem  izriet (tā saprotam), ka katra no šīm summām Paziņojumā par fiziskai personai izmaksātajām summām būs jānorāda atsevišķi. Tas nozīmē, ka programmās ir jāuztaisa, lai katru šo summu var norādīt/iekļaut aprēķinos un iekļaut Paziņojumā. Attiecīgi par 202</w:t>
            </w:r>
            <w:r>
              <w:t>5.gadu tas būs jātaisa manuāli.</w:t>
            </w:r>
            <w:r>
              <w:br/>
            </w:r>
            <w:r>
              <w:t>Vai tiks izmainīts Paziņojums (IIN 2.pielikums) ? Ja izmainīts, tad jāņem vērā, ka grāmatvedības sistēmas nepaspēs izmaiņas uztaisīt un ieviest. Turklāt, nav pārliecības, ka par šo gadu uzskaites sistēmās varēs jau veiktās izmaiņas iepludināt atskaitē. Šāda prasība var stāties spēkā tikai ar 2026.gadu, lai visa gada garumā grāmatvedis var veikt atbilstošu uzskaiti priekš Paziņojuma.</w:t>
            </w:r>
            <w:r>
              <w:br/>
            </w:r>
            <w:r>
              <w:rPr>
                <w:b/>
              </w:rPr>
              <w:t xml:space="preserve">Piemēram, kā tas notiek Jumis </w:t>
            </w:r>
            <w:proofErr w:type="spellStart"/>
            <w:r>
              <w:rPr>
                <w:b/>
              </w:rPr>
              <w:t>People</w:t>
            </w:r>
            <w:proofErr w:type="spellEnd"/>
            <w:r>
              <w:t xml:space="preserve"> - katra mēneša algas aprēķinā tiek veidots ieraksts "neapliekamais ienākums" un summa. Jo</w:t>
            </w:r>
            <w:r>
              <w:t xml:space="preserve"> tikai no algu aprēķiniem summas tiek iekļautas Paziņojumā. Algu aprēķini tiek slēgti un tajos nav vairs iespējams veidot ierakstus. Domājams, ka arī citās uzskaites sistēmās ir līdzīgs princips.</w:t>
            </w:r>
            <w:r>
              <w:br/>
            </w:r>
            <w:r>
              <w:br/>
            </w:r>
            <w:r>
              <w:t>Ar cieņu, LRGA vārdā</w:t>
            </w:r>
            <w:r>
              <w:br/>
            </w:r>
            <w:r>
              <w:t>valdes locekle</w:t>
            </w:r>
            <w:r>
              <w:br/>
            </w:r>
            <w:r>
              <w:t>Ņina Vasiļevska</w:t>
            </w:r>
          </w:p>
        </w:tc>
        <w:tc>
          <w:tcPr>
            <w:tcW w:w="1650" w:type="dxa"/>
            <w:shd w:val="clear" w:color="auto" w:fill="FFFFFF"/>
            <w:noWrap/>
            <w:tcMar>
              <w:top w:w="75" w:type="dxa"/>
              <w:left w:w="75" w:type="dxa"/>
              <w:bottom w:w="75" w:type="dxa"/>
              <w:right w:w="75" w:type="dxa"/>
            </w:tcMar>
            <w:vAlign w:val="center"/>
          </w:tcPr>
          <w:p w14:paraId="121F22ED" w14:textId="10A037B5" w:rsidR="00DE4643" w:rsidRDefault="00C576C0">
            <w:pPr>
              <w:jc w:val="left"/>
            </w:pPr>
            <w:r>
              <w:lastRenderedPageBreak/>
              <w:t>Daļēju ņemts vērā</w:t>
            </w:r>
          </w:p>
        </w:tc>
        <w:tc>
          <w:tcPr>
            <w:tcW w:w="4056" w:type="dxa"/>
            <w:shd w:val="clear" w:color="auto" w:fill="FFFFFF"/>
            <w:noWrap/>
            <w:tcMar>
              <w:top w:w="75" w:type="dxa"/>
              <w:left w:w="75" w:type="dxa"/>
              <w:bottom w:w="75" w:type="dxa"/>
              <w:right w:w="75" w:type="dxa"/>
            </w:tcMar>
            <w:vAlign w:val="center"/>
          </w:tcPr>
          <w:p w14:paraId="7D9EF697" w14:textId="77777777" w:rsidR="00DE4643" w:rsidRDefault="00DE4643">
            <w:pPr>
              <w:jc w:val="left"/>
            </w:pPr>
          </w:p>
          <w:p w14:paraId="46A7678A" w14:textId="77777777" w:rsidR="00C576C0" w:rsidRDefault="00C576C0">
            <w:pPr>
              <w:jc w:val="left"/>
            </w:pPr>
          </w:p>
          <w:p w14:paraId="5BF31476" w14:textId="77777777" w:rsidR="00C576C0" w:rsidRDefault="00C576C0">
            <w:pPr>
              <w:jc w:val="left"/>
            </w:pPr>
          </w:p>
          <w:p w14:paraId="12F3D793" w14:textId="77777777" w:rsidR="00C576C0" w:rsidRDefault="00C576C0">
            <w:pPr>
              <w:jc w:val="left"/>
            </w:pPr>
          </w:p>
          <w:p w14:paraId="6DA29566" w14:textId="77777777" w:rsidR="00C576C0" w:rsidRDefault="00C576C0">
            <w:pPr>
              <w:jc w:val="left"/>
            </w:pPr>
          </w:p>
          <w:p w14:paraId="6F8A8FC2" w14:textId="77777777" w:rsidR="00C576C0" w:rsidRDefault="00C576C0">
            <w:pPr>
              <w:jc w:val="left"/>
            </w:pPr>
          </w:p>
          <w:p w14:paraId="4539FB68" w14:textId="77777777" w:rsidR="00C576C0" w:rsidRDefault="00C576C0">
            <w:pPr>
              <w:jc w:val="left"/>
            </w:pPr>
          </w:p>
          <w:p w14:paraId="1D0F912F" w14:textId="77777777" w:rsidR="00C576C0" w:rsidRDefault="00C576C0">
            <w:pPr>
              <w:jc w:val="left"/>
            </w:pPr>
          </w:p>
          <w:p w14:paraId="1091837C" w14:textId="77777777" w:rsidR="00C576C0" w:rsidRDefault="00C576C0" w:rsidP="00C576C0">
            <w:r w:rsidRPr="00C576C0">
              <w:t xml:space="preserve">Normatīvais regulējums attiecībā uz darbiniekam izmaksātajām kompensāciju summām, kas saistītas ar darba devēja </w:t>
            </w:r>
            <w:proofErr w:type="spellStart"/>
            <w:r w:rsidRPr="00C576C0">
              <w:t>elektrotransportlīdzekļa</w:t>
            </w:r>
            <w:proofErr w:type="spellEnd"/>
            <w:r w:rsidRPr="00C576C0">
              <w:t xml:space="preserve"> uzlādi ir izstrādāts saskaņā ar Nacionālā enerģētikas un klimata plānā 2021.–2030. gadam (apstiprināts ar Ministru kabineta 2024. gada 12. jūlija rīkojumu Nr. 573) 3.1.1. </w:t>
            </w:r>
            <w:proofErr w:type="spellStart"/>
            <w:r w:rsidRPr="00C576C0">
              <w:t>apakšsadaļā</w:t>
            </w:r>
            <w:proofErr w:type="spellEnd"/>
            <w:r w:rsidRPr="00C576C0">
              <w:t xml:space="preserve"> iekļauto pasākumu ar kodu “3.1.1.8” (paredz izvērtēt normatīvo regulējumu attiecībā uz darbiniekam izmaksātajām kompensāciju summām, kas saistītas ar darba devēja </w:t>
            </w:r>
            <w:proofErr w:type="spellStart"/>
            <w:r w:rsidRPr="00C576C0">
              <w:t>elektrotransportlīdzekļa</w:t>
            </w:r>
            <w:proofErr w:type="spellEnd"/>
            <w:r w:rsidRPr="00C576C0">
              <w:t xml:space="preserve"> uzlādi, nosakot noteiktus kritērijus, kas veicinātu darba devēja motivāciju attiecībā uz </w:t>
            </w:r>
            <w:proofErr w:type="spellStart"/>
            <w:r w:rsidRPr="00C576C0">
              <w:t>elektrotransportlīdzekļa</w:t>
            </w:r>
            <w:proofErr w:type="spellEnd"/>
            <w:r w:rsidRPr="00C576C0">
              <w:t xml:space="preserve"> iekļaušanu savā uzņēmuma autotransporta parkā). Līdz ar to minētais normatīvais regulējums ir attiecināms tikai uz transportlīdzekļiem, kam transportlīdzekļu reģistrā kā degvielas veids norādīta elektrība, un neietver </w:t>
            </w:r>
            <w:proofErr w:type="spellStart"/>
            <w:r w:rsidRPr="00C576C0">
              <w:t>hibrīdauto</w:t>
            </w:r>
            <w:proofErr w:type="spellEnd"/>
            <w:r w:rsidRPr="00C576C0">
              <w:t>. Ir papildināta anotācija, norādot iepriekš minēto informāciju.</w:t>
            </w:r>
          </w:p>
          <w:p w14:paraId="48F97445" w14:textId="77777777" w:rsidR="00C576C0" w:rsidRDefault="00C576C0" w:rsidP="00C576C0"/>
          <w:p w14:paraId="68FC5A44" w14:textId="77777777" w:rsidR="00C576C0" w:rsidRDefault="00C576C0" w:rsidP="00C576C0"/>
          <w:p w14:paraId="446AE5CF" w14:textId="77777777" w:rsidR="00C576C0" w:rsidRDefault="00C576C0" w:rsidP="00C576C0"/>
          <w:p w14:paraId="7BE8F7DC" w14:textId="77777777" w:rsidR="00C576C0" w:rsidRDefault="00C576C0" w:rsidP="00C576C0"/>
          <w:p w14:paraId="5FB13ABF" w14:textId="77777777" w:rsidR="00C576C0" w:rsidRDefault="00C576C0" w:rsidP="00C576C0"/>
          <w:p w14:paraId="62C70E36" w14:textId="77777777" w:rsidR="00C576C0" w:rsidRDefault="00C576C0" w:rsidP="00C576C0"/>
          <w:p w14:paraId="0789925B" w14:textId="77777777" w:rsidR="00C576C0" w:rsidRDefault="00C576C0" w:rsidP="00C576C0"/>
          <w:p w14:paraId="44F3E893" w14:textId="77777777" w:rsidR="00C576C0" w:rsidRDefault="00C576C0" w:rsidP="00C576C0"/>
          <w:p w14:paraId="6F647E8D" w14:textId="77777777" w:rsidR="00C576C0" w:rsidRDefault="00C576C0" w:rsidP="00C576C0"/>
          <w:p w14:paraId="2CBB5BEF" w14:textId="77777777" w:rsidR="00C576C0" w:rsidRDefault="00C576C0" w:rsidP="00C576C0"/>
          <w:p w14:paraId="0A680B4C" w14:textId="77777777" w:rsidR="00C576C0" w:rsidRDefault="00C576C0" w:rsidP="00C576C0"/>
          <w:p w14:paraId="371B5AE4" w14:textId="77777777" w:rsidR="00C576C0" w:rsidRDefault="00C576C0" w:rsidP="00C576C0"/>
          <w:p w14:paraId="03E21854" w14:textId="77777777" w:rsidR="00C576C0" w:rsidRDefault="00C576C0" w:rsidP="00C576C0">
            <w:r w:rsidRPr="00260007">
              <w:t>Normatīvais regulējums paredz, ka ienākumi, par kuriem nav jāmaksā algas nodoklis ir darbinieka izdevumu kompensācija par darbinieka veikto elektroenerģijas uzlādi darbinieka dzīvesvietā darba devēja piederošam transportlīdzeklim, kam transportlīdzekļu reģistrā kā degvielas veids norādīta elektrība, ja tiek izpildīti noteikti kritēriji. Minētais kritērijs “līgums ar elektroenerģijas piegādātāju darbinieka dzīvesvietā ir noslēgts starp darbinieku un elektroenerģijas piegādātāju” ļauj nodrošināt to, ka tieši darbiniekam tiek kompensēti izdevumi, nevis citai personai, kas nav darbinieks pie minētā darba devēja.</w:t>
            </w:r>
            <w:r>
              <w:t xml:space="preserve"> </w:t>
            </w:r>
          </w:p>
          <w:p w14:paraId="1A343CE0" w14:textId="77777777" w:rsidR="00C576C0" w:rsidRDefault="00C576C0" w:rsidP="00C576C0"/>
          <w:p w14:paraId="42C79152" w14:textId="77777777" w:rsidR="00C576C0" w:rsidRDefault="00C576C0" w:rsidP="00C576C0"/>
          <w:p w14:paraId="22D49B0D" w14:textId="77777777" w:rsidR="00C576C0" w:rsidRDefault="00C576C0" w:rsidP="00C576C0"/>
          <w:p w14:paraId="10E031C5" w14:textId="77777777" w:rsidR="00C576C0" w:rsidRDefault="00C576C0" w:rsidP="00C576C0"/>
          <w:p w14:paraId="694CB501" w14:textId="77777777" w:rsidR="00C576C0" w:rsidRDefault="00C576C0" w:rsidP="00C576C0"/>
          <w:p w14:paraId="3BA7E003" w14:textId="77777777" w:rsidR="00C576C0" w:rsidRDefault="00C576C0" w:rsidP="00C576C0"/>
          <w:p w14:paraId="508D0BD9" w14:textId="77777777" w:rsidR="00C576C0" w:rsidRDefault="00C576C0" w:rsidP="00C576C0"/>
          <w:p w14:paraId="4A334F83" w14:textId="77777777" w:rsidR="00C576C0" w:rsidRDefault="00C576C0" w:rsidP="00C576C0"/>
          <w:p w14:paraId="5C46A973" w14:textId="77777777" w:rsidR="00C576C0" w:rsidRDefault="00C576C0" w:rsidP="00C576C0"/>
          <w:p w14:paraId="2629FAA0" w14:textId="77777777" w:rsidR="00C576C0" w:rsidRDefault="00C576C0" w:rsidP="00C576C0"/>
          <w:p w14:paraId="680FF60C" w14:textId="77777777" w:rsidR="00C576C0" w:rsidRDefault="00C576C0" w:rsidP="00C576C0"/>
          <w:p w14:paraId="28DC88E4" w14:textId="77777777" w:rsidR="00C576C0" w:rsidRDefault="00C576C0" w:rsidP="00C576C0"/>
          <w:p w14:paraId="51E35EFE" w14:textId="77777777" w:rsidR="00C576C0" w:rsidRDefault="00C576C0" w:rsidP="00C576C0"/>
          <w:p w14:paraId="09716AC0" w14:textId="77777777" w:rsidR="00C576C0" w:rsidRPr="00260007" w:rsidRDefault="00C576C0" w:rsidP="00C576C0">
            <w:r w:rsidRPr="00260007">
              <w:t>Likuma “Par iedzīvotāju ienākuma nodokli” 8.panta piecpadsmitās daļas 1.punkts paredz, ka darba devējs apmaksā darba koplīgumā noteiktos transporta izdevumus, kas nozīmē, ka darba devējs konkrēti norāda darba koplīgumā, kādus transporta izdevumu veidus apmaksās darbiniekiem.</w:t>
            </w:r>
          </w:p>
          <w:p w14:paraId="5F190125" w14:textId="77777777" w:rsidR="00C576C0" w:rsidRDefault="00C576C0" w:rsidP="00C576C0">
            <w:r w:rsidRPr="00260007">
              <w:t>Vēršam uzmanību, ka likuma “Par iedzīvotāju ienākuma nodokli” 8.panta deviņpadsmitā daļa paredz, ka 8.panta piecpadsmitajā daļā noteikto nodokļa atbrīvojumu nepiemēro, ja darba devējs ir valsts, pašvaldības, publiskas personas vai publiski privātā kapitālsabiedrība (iestādes un uzņēmumi, kuru finansējums pilnībā vai daļēji ir no valsts budžeta ieņēmumiem).</w:t>
            </w:r>
          </w:p>
          <w:p w14:paraId="56CC47F9" w14:textId="77777777" w:rsidR="00C576C0" w:rsidRDefault="00C576C0" w:rsidP="00C576C0"/>
          <w:p w14:paraId="5D7360C1" w14:textId="77777777" w:rsidR="00C576C0" w:rsidRDefault="00C576C0" w:rsidP="00C576C0"/>
          <w:p w14:paraId="70FF9A83" w14:textId="77777777" w:rsidR="00C576C0" w:rsidRDefault="00C576C0" w:rsidP="00C576C0"/>
          <w:p w14:paraId="1D14D51F" w14:textId="77777777" w:rsidR="00C576C0" w:rsidRDefault="00C576C0" w:rsidP="00C576C0"/>
          <w:p w14:paraId="285B5438" w14:textId="77777777" w:rsidR="00C576C0" w:rsidRDefault="00C576C0" w:rsidP="00C576C0"/>
          <w:p w14:paraId="5CE16E7C" w14:textId="77777777" w:rsidR="00C576C0" w:rsidRDefault="00C576C0" w:rsidP="00C576C0"/>
          <w:p w14:paraId="0EC9B721" w14:textId="77777777" w:rsidR="00C576C0" w:rsidRDefault="00C576C0" w:rsidP="00C576C0"/>
          <w:p w14:paraId="21A399D8" w14:textId="77777777" w:rsidR="00C576C0" w:rsidRDefault="00C576C0" w:rsidP="00C576C0"/>
          <w:p w14:paraId="044D5A47" w14:textId="77777777" w:rsidR="00C576C0" w:rsidRDefault="00C576C0" w:rsidP="00C576C0"/>
          <w:p w14:paraId="0D1F1CEE" w14:textId="77777777" w:rsidR="00C576C0" w:rsidRDefault="00C576C0" w:rsidP="00C576C0"/>
          <w:p w14:paraId="52CC0C4E" w14:textId="77777777" w:rsidR="00C576C0" w:rsidRDefault="00C576C0" w:rsidP="00C576C0"/>
          <w:p w14:paraId="3695EF77" w14:textId="77777777" w:rsidR="00C576C0" w:rsidRDefault="00C576C0" w:rsidP="00C576C0"/>
          <w:p w14:paraId="5D726B37" w14:textId="77777777" w:rsidR="00C576C0" w:rsidRDefault="00C576C0" w:rsidP="00C576C0"/>
          <w:p w14:paraId="4236CF64" w14:textId="77777777" w:rsidR="00C576C0" w:rsidRDefault="00C576C0" w:rsidP="00C576C0"/>
          <w:p w14:paraId="7862A439" w14:textId="77777777" w:rsidR="00C576C0" w:rsidRDefault="00C576C0" w:rsidP="00C576C0"/>
          <w:p w14:paraId="5A1F55B7" w14:textId="77777777" w:rsidR="00C576C0" w:rsidRDefault="00C576C0" w:rsidP="00C576C0"/>
          <w:p w14:paraId="462DDBC9" w14:textId="77777777" w:rsidR="00C576C0" w:rsidRDefault="00C576C0" w:rsidP="00C576C0"/>
          <w:p w14:paraId="31A3731E" w14:textId="77777777" w:rsidR="00C576C0" w:rsidRDefault="00C576C0" w:rsidP="00C576C0"/>
          <w:p w14:paraId="71F6D30B" w14:textId="77777777" w:rsidR="00C576C0" w:rsidRDefault="00C576C0" w:rsidP="00C576C0"/>
          <w:p w14:paraId="39929DD5" w14:textId="77777777" w:rsidR="00C576C0" w:rsidRDefault="00C576C0" w:rsidP="00C576C0"/>
          <w:p w14:paraId="33B4367E" w14:textId="77777777" w:rsidR="00C576C0" w:rsidRDefault="00C576C0" w:rsidP="00C576C0"/>
          <w:p w14:paraId="7FD38B68" w14:textId="77777777" w:rsidR="00C576C0" w:rsidRPr="00260007" w:rsidRDefault="00C576C0" w:rsidP="00C576C0">
            <w:r w:rsidRPr="00260007">
              <w:t>Ministru kabineta noteikumus projekts stāsies spēkā vispārējā kārtībā saskaņā ar Oficiālo publikāciju un tiesiskās informācijas likuma 7.panta otro daļu, kas paredz, ka Ministru kabineta noteikumi stājas spēkā nākamajā dienā pēc to izsludināšanas.</w:t>
            </w:r>
          </w:p>
          <w:p w14:paraId="1800A246" w14:textId="71980984" w:rsidR="00C576C0" w:rsidRDefault="00C576C0" w:rsidP="00C576C0">
            <w:r w:rsidRPr="00260007">
              <w:t>Attiecībā uz informācijas iesniegšanu Valsts ieņēmumu dienestam, izdalot šo informāciju atsevišķi par katru izdevumu veidu, vēršam uzmanību, ka likuma “Grozījumi likumā “Par iedzīvotāju ienākuma nodokli””, kas stājās spēkā kas stājās spēkā 2024. gada 11. decembrī, anotācijas 1.3.apakšsadaļā saistībā ar darba ņēmēju mobilitātes veicināšanu (grozījumi likuma 8.panta piecpadsmitajā un septiņpadsmitajā daļā, un 29.panta otrajā daļā) ir norādīts, ka darba devējam būs jāuzglabā attiecīgie izdevumus apliecinošie ārējie attaisnojuma dokumenti, jāveic izdevumu uzskaite par katru darbinieku un par visu darbinieku kopējiem izdevumiem, kā arī jāsniedz Valsts ieņēmumu dienestam informācija par fiziskajai personai izmaksātajām summām par darba devēja apmaksātajiem darba koplīgumā noteiktajiem darbinieka ēdināšanas izdevumiem, ārstniecības izdevumiem, izdevumiem, kas saistīti ar darbinieka pārcelšanos uz citu dzīvesvietu, izmitināšanas izdevumiem un transporta izdevumiem, izdalot informāciju atsevišķi par katru no šiem izdevumu veidiem. Valsts ieņēmumu dienests savā interneta vietnē sadaļā “Ienākumu veidu un papildu atvieglojumu veidu kodi” ir norādījis kodus katram izdevumu veidam, kā arī ir publicēts metodiskais materiāls “</w:t>
            </w:r>
            <w:r w:rsidRPr="00260007">
              <w:rPr>
                <w:i/>
                <w:iCs/>
              </w:rPr>
              <w:t>Darba devēja apmaksātie darbinieku ēdināšanas, ārstniecības un mobilitātes izdevumi</w:t>
            </w:r>
            <w:r w:rsidRPr="00260007">
              <w:t>”, kurā sniegta informācija par paziņojuma par fiziskajai personai izmaksātajām summām aizpildīšanu.</w:t>
            </w:r>
          </w:p>
          <w:p w14:paraId="1239D36E" w14:textId="77777777" w:rsidR="00C576C0" w:rsidRDefault="00C576C0" w:rsidP="00C576C0"/>
          <w:p w14:paraId="3832891A" w14:textId="77777777" w:rsidR="00C576C0" w:rsidRDefault="00C576C0" w:rsidP="00C576C0"/>
          <w:p w14:paraId="4F8B958B" w14:textId="00651376" w:rsidR="00C576C0" w:rsidRDefault="00C576C0" w:rsidP="00C576C0"/>
        </w:tc>
      </w:tr>
    </w:tbl>
    <w:p w14:paraId="25244C80" w14:textId="77777777" w:rsidR="00DE4643" w:rsidRDefault="00DE4643"/>
    <w:tbl>
      <w:tblPr>
        <w:tblStyle w:val="a"/>
        <w:tblW w:w="14567" w:type="dxa"/>
        <w:tblLayout w:type="fixed"/>
        <w:tblLook w:val="0600" w:firstRow="0" w:lastRow="0" w:firstColumn="0" w:lastColumn="0" w:noHBand="1" w:noVBand="1"/>
      </w:tblPr>
      <w:tblGrid>
        <w:gridCol w:w="4855"/>
        <w:gridCol w:w="4856"/>
        <w:gridCol w:w="4856"/>
      </w:tblGrid>
      <w:tr w:rsidR="00DE4643" w14:paraId="176677CA" w14:textId="77777777">
        <w:tc>
          <w:tcPr>
            <w:tcW w:w="4855" w:type="dxa"/>
            <w:shd w:val="clear" w:color="auto" w:fill="FFFFFF"/>
            <w:noWrap/>
            <w:tcMar>
              <w:top w:w="75" w:type="dxa"/>
              <w:left w:w="75" w:type="dxa"/>
              <w:bottom w:w="75" w:type="dxa"/>
              <w:right w:w="75" w:type="dxa"/>
            </w:tcMar>
            <w:vAlign w:val="center"/>
          </w:tcPr>
          <w:p w14:paraId="7C978637" w14:textId="77777777" w:rsidR="00DE4643" w:rsidRDefault="00C576C0">
            <w:pPr>
              <w:jc w:val="left"/>
            </w:pPr>
            <w:r>
              <w:t>Datums**</w:t>
            </w:r>
          </w:p>
        </w:tc>
        <w:tc>
          <w:tcPr>
            <w:tcW w:w="4856" w:type="dxa"/>
            <w:shd w:val="clear" w:color="auto" w:fill="FFFFFF"/>
            <w:noWrap/>
            <w:tcMar>
              <w:top w:w="75" w:type="dxa"/>
              <w:left w:w="75" w:type="dxa"/>
              <w:bottom w:w="75" w:type="dxa"/>
              <w:right w:w="75" w:type="dxa"/>
            </w:tcMar>
            <w:vAlign w:val="center"/>
          </w:tcPr>
          <w:p w14:paraId="5C04E344" w14:textId="77777777" w:rsidR="00DE4643" w:rsidRDefault="00DE4643">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28F8823" w14:textId="77777777" w:rsidR="00DE4643" w:rsidRDefault="00DE4643"/>
        </w:tc>
      </w:tr>
      <w:tr w:rsidR="00DE4643" w14:paraId="19F9F675" w14:textId="77777777">
        <w:tc>
          <w:tcPr>
            <w:tcW w:w="4855" w:type="dxa"/>
            <w:shd w:val="clear" w:color="auto" w:fill="FFFFFF"/>
            <w:noWrap/>
            <w:tcMar>
              <w:top w:w="75" w:type="dxa"/>
              <w:left w:w="75" w:type="dxa"/>
              <w:bottom w:w="75" w:type="dxa"/>
              <w:right w:w="75" w:type="dxa"/>
            </w:tcMar>
            <w:vAlign w:val="center"/>
          </w:tcPr>
          <w:p w14:paraId="510E4863" w14:textId="77777777" w:rsidR="00DE4643" w:rsidRDefault="00DE4643"/>
        </w:tc>
        <w:tc>
          <w:tcPr>
            <w:tcW w:w="4856" w:type="dxa"/>
            <w:shd w:val="clear" w:color="auto" w:fill="FFFFFF"/>
            <w:noWrap/>
            <w:tcMar>
              <w:top w:w="75" w:type="dxa"/>
              <w:left w:w="75" w:type="dxa"/>
              <w:bottom w:w="75" w:type="dxa"/>
              <w:right w:w="75" w:type="dxa"/>
            </w:tcMar>
            <w:vAlign w:val="center"/>
          </w:tcPr>
          <w:p w14:paraId="2BFBED29" w14:textId="77777777" w:rsidR="00DE4643" w:rsidRDefault="00C576C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7AC606A6" w14:textId="77777777" w:rsidR="00DE4643" w:rsidRDefault="00DE4643"/>
        </w:tc>
      </w:tr>
      <w:tr w:rsidR="00DE4643" w14:paraId="697B07DC" w14:textId="77777777">
        <w:tc>
          <w:tcPr>
            <w:tcW w:w="4855" w:type="dxa"/>
            <w:shd w:val="clear" w:color="auto" w:fill="FFFFFF"/>
            <w:noWrap/>
            <w:tcMar>
              <w:top w:w="75" w:type="dxa"/>
              <w:left w:w="75" w:type="dxa"/>
              <w:bottom w:w="75" w:type="dxa"/>
              <w:right w:w="75" w:type="dxa"/>
            </w:tcMar>
            <w:vAlign w:val="center"/>
          </w:tcPr>
          <w:p w14:paraId="2570AC90" w14:textId="77777777" w:rsidR="00DE4643" w:rsidRDefault="00C576C0">
            <w:pPr>
              <w:jc w:val="left"/>
            </w:pPr>
            <w:r>
              <w:t>Atbildīgā persona</w:t>
            </w:r>
          </w:p>
        </w:tc>
        <w:tc>
          <w:tcPr>
            <w:tcW w:w="4856" w:type="dxa"/>
            <w:shd w:val="clear" w:color="auto" w:fill="FFFFFF"/>
            <w:noWrap/>
            <w:tcMar>
              <w:top w:w="75" w:type="dxa"/>
              <w:left w:w="75" w:type="dxa"/>
              <w:bottom w:w="75" w:type="dxa"/>
              <w:right w:w="75" w:type="dxa"/>
            </w:tcMar>
            <w:vAlign w:val="center"/>
          </w:tcPr>
          <w:p w14:paraId="6E98E3C8" w14:textId="77777777" w:rsidR="00DE4643" w:rsidRDefault="00DE4643">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A6756D4" w14:textId="77777777" w:rsidR="00DE4643" w:rsidRDefault="00DE4643"/>
        </w:tc>
      </w:tr>
      <w:tr w:rsidR="00DE4643" w14:paraId="1D4DF080" w14:textId="77777777">
        <w:tc>
          <w:tcPr>
            <w:tcW w:w="4855" w:type="dxa"/>
            <w:shd w:val="clear" w:color="auto" w:fill="FFFFFF"/>
            <w:noWrap/>
            <w:tcMar>
              <w:top w:w="75" w:type="dxa"/>
              <w:left w:w="75" w:type="dxa"/>
              <w:bottom w:w="75" w:type="dxa"/>
              <w:right w:w="75" w:type="dxa"/>
            </w:tcMar>
            <w:vAlign w:val="center"/>
          </w:tcPr>
          <w:p w14:paraId="2FE98513" w14:textId="77777777" w:rsidR="00DE4643" w:rsidRDefault="00DE4643"/>
        </w:tc>
        <w:tc>
          <w:tcPr>
            <w:tcW w:w="4856" w:type="dxa"/>
            <w:shd w:val="clear" w:color="auto" w:fill="FFFFFF"/>
            <w:noWrap/>
            <w:tcMar>
              <w:top w:w="75" w:type="dxa"/>
              <w:left w:w="75" w:type="dxa"/>
              <w:bottom w:w="75" w:type="dxa"/>
              <w:right w:w="75" w:type="dxa"/>
            </w:tcMar>
            <w:vAlign w:val="center"/>
          </w:tcPr>
          <w:p w14:paraId="2CA2F0F0" w14:textId="77777777" w:rsidR="00DE4643" w:rsidRDefault="00C576C0">
            <w:pPr>
              <w:jc w:val="center"/>
            </w:pPr>
            <w:r>
              <w:t>(vārds, uzvārds, paraksts**)</w:t>
            </w:r>
          </w:p>
        </w:tc>
        <w:tc>
          <w:tcPr>
            <w:tcW w:w="4856" w:type="dxa"/>
            <w:shd w:val="clear" w:color="auto" w:fill="FFFFFF"/>
            <w:noWrap/>
            <w:tcMar>
              <w:top w:w="75" w:type="dxa"/>
              <w:left w:w="75" w:type="dxa"/>
              <w:bottom w:w="75" w:type="dxa"/>
              <w:right w:w="75" w:type="dxa"/>
            </w:tcMar>
            <w:vAlign w:val="center"/>
          </w:tcPr>
          <w:p w14:paraId="0201E229" w14:textId="77777777" w:rsidR="00DE4643" w:rsidRDefault="00DE4643"/>
        </w:tc>
      </w:tr>
    </w:tbl>
    <w:p w14:paraId="52101B6B" w14:textId="77777777" w:rsidR="00DE4643" w:rsidRDefault="00DE4643"/>
    <w:p w14:paraId="4EF8BC33" w14:textId="77777777" w:rsidR="00DE4643" w:rsidRDefault="00C576C0">
      <w:r>
        <w:t>Piezīmes.</w:t>
      </w:r>
    </w:p>
    <w:p w14:paraId="3758D2AF" w14:textId="77777777" w:rsidR="00DE4643" w:rsidRDefault="00C576C0">
      <w:r>
        <w:t>* Iesniedzējs (fiziskai personai – vārds, uzvārds, juridiskai personai – nosaukums) var tikt publiskots, ja viņš tam ir piekritis. Ja attiecināms, iesniedzējs norāda interešu pārstāvja reģistrācijas numuru.</w:t>
      </w:r>
    </w:p>
    <w:p w14:paraId="65975B77" w14:textId="77777777" w:rsidR="00DE4643" w:rsidRDefault="00C576C0">
      <w:r>
        <w:t>** Dokumenta rekvizītus "datums" un "paraksts" neaizpilda, ja elektroniskais dokuments ir sagatavots atbilstoši normatīvajiem aktiem par elektronisko dokumentu noformēšanu.</w:t>
      </w:r>
    </w:p>
    <w:sectPr w:rsidR="00DE4643">
      <w:headerReference w:type="default" r:id="rId6"/>
      <w:footerReference w:type="default" r:id="rId7"/>
      <w:headerReference w:type="first" r:id="rId8"/>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413C9" w14:textId="77777777" w:rsidR="00C576C0" w:rsidRDefault="00C576C0">
      <w:r>
        <w:separator/>
      </w:r>
    </w:p>
  </w:endnote>
  <w:endnote w:type="continuationSeparator" w:id="0">
    <w:p w14:paraId="27DEE041" w14:textId="77777777" w:rsidR="00C576C0" w:rsidRDefault="00C57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4AA4F" w14:textId="77777777" w:rsidR="00DE4643" w:rsidRDefault="00C576C0">
    <w:pPr>
      <w:jc w:val="right"/>
    </w:pPr>
    <w:r>
      <w:rPr>
        <w:sz w:val="24"/>
        <w:szCs w:val="24"/>
      </w:rPr>
      <w:fldChar w:fldCharType="begin"/>
    </w:r>
    <w:r>
      <w:rPr>
        <w:sz w:val="24"/>
        <w:szCs w:val="24"/>
      </w:rPr>
      <w:instrText>PAGE</w:instrText>
    </w:r>
    <w:r w:rsidR="007312E9">
      <w:rPr>
        <w:sz w:val="24"/>
        <w:szCs w:val="24"/>
      </w:rPr>
      <w:fldChar w:fldCharType="separate"/>
    </w:r>
    <w:r w:rsidR="007312E9">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365F1" w14:textId="77777777" w:rsidR="00C576C0" w:rsidRDefault="00C576C0">
      <w:r>
        <w:separator/>
      </w:r>
    </w:p>
  </w:footnote>
  <w:footnote w:type="continuationSeparator" w:id="0">
    <w:p w14:paraId="1D6A3884" w14:textId="77777777" w:rsidR="00C576C0" w:rsidRDefault="00C57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9BD1" w14:textId="34685ECC" w:rsidR="00DE4643" w:rsidRDefault="00C576C0">
    <w:pPr>
      <w:pStyle w:val="Header"/>
      <w:contextualSpacing w:val="0"/>
    </w:pPr>
    <w:r>
      <w:t>Viedokļu pārskats 25-TA-527</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47F4" w14:textId="4D45BE2E" w:rsidR="00DE4643" w:rsidRDefault="00C576C0">
    <w:pPr>
      <w:pStyle w:val="Header"/>
      <w:contextualSpacing w:val="0"/>
    </w:pPr>
    <w:r>
      <w:t>Viedokļu pārskats 25-TA-527</w:t>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43"/>
    <w:rsid w:val="007312E9"/>
    <w:rsid w:val="0085714F"/>
    <w:rsid w:val="00C576C0"/>
    <w:rsid w:val="00DE46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3E748"/>
  <w15:docId w15:val="{21D541DA-47B2-4C1A-AD82-F7F3976B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C576C0"/>
    <w:pPr>
      <w:tabs>
        <w:tab w:val="center" w:pos="4153"/>
        <w:tab w:val="right" w:pos="8306"/>
      </w:tabs>
    </w:pPr>
  </w:style>
  <w:style w:type="character" w:customStyle="1" w:styleId="FooterChar">
    <w:name w:val="Footer Char"/>
    <w:basedOn w:val="DefaultParagraphFont"/>
    <w:link w:val="Footer"/>
    <w:uiPriority w:val="99"/>
    <w:rsid w:val="00C57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9</Pages>
  <Words>6996</Words>
  <Characters>3988</Characters>
  <Application>Microsoft Office Word</Application>
  <DocSecurity>0</DocSecurity>
  <Lines>33</Lines>
  <Paragraphs>21</Paragraphs>
  <ScaleCrop>false</ScaleCrop>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viedoklu_parskats_25-TA-527.docx</dc:title>
  <dc:creator>Līga Leite</dc:creator>
  <cp:lastModifiedBy>Līga Leite</cp:lastModifiedBy>
  <cp:revision>3</cp:revision>
  <dcterms:created xsi:type="dcterms:W3CDTF">2025-09-19T09:29:00Z</dcterms:created>
  <dcterms:modified xsi:type="dcterms:W3CDTF">2025-09-19T09:36:00Z</dcterms:modified>
</cp:coreProperties>
</file>