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B304A7" w14:textId="77777777" w:rsidR="00C553CF" w:rsidRDefault="00665410">
      <w:pPr>
        <w:spacing w:after="240"/>
        <w:jc w:val="center"/>
        <w:rPr>
          <w:b/>
        </w:rPr>
      </w:pPr>
      <w:r>
        <w:rPr>
          <w:b/>
        </w:rPr>
        <w:t>“Publiskās apspriešanas laikā 16.06.2025. - 30.06.2025. saņemto viedokļu, priekšlikumu un iebildumu apkopojums par Noteikumi par kritērijiem un kārtību, kādā tiek izraudzītas nevalstiskās organizācijas darbam Sabiedrības integrācijas fonda padomē, un atalgojumu Sabiedrības integrācijas fonda padomes locekļiem, kuri ir nevalstisko organizāciju pārstāvji”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C553CF" w14:paraId="33B304AD" w14:textId="77777777">
        <w:tc>
          <w:tcPr>
            <w:tcW w:w="750" w:type="dxa"/>
            <w:shd w:val="clear" w:color="auto" w:fill="FFFFFF"/>
            <w:noWrap/>
            <w:tcMar>
              <w:top w:w="75" w:type="dxa"/>
              <w:left w:w="75" w:type="dxa"/>
              <w:bottom w:w="75" w:type="dxa"/>
              <w:right w:w="75" w:type="dxa"/>
            </w:tcMar>
            <w:vAlign w:val="center"/>
          </w:tcPr>
          <w:p w14:paraId="33B304A8" w14:textId="77777777" w:rsidR="00C553CF" w:rsidRDefault="00665410">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33B304A9" w14:textId="77777777" w:rsidR="00C553CF" w:rsidRDefault="00665410">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3B304AA" w14:textId="77777777" w:rsidR="00C553CF" w:rsidRDefault="00665410">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3B304AB" w14:textId="77777777" w:rsidR="00C553CF" w:rsidRDefault="00665410">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3B304AC" w14:textId="77777777" w:rsidR="00C553CF" w:rsidRDefault="00665410">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C553CF" w14:paraId="33B304B3" w14:textId="77777777">
        <w:tc>
          <w:tcPr>
            <w:tcW w:w="750" w:type="dxa"/>
            <w:shd w:val="clear" w:color="auto" w:fill="FFFFFF"/>
            <w:noWrap/>
            <w:tcMar>
              <w:top w:w="75" w:type="dxa"/>
              <w:left w:w="75" w:type="dxa"/>
              <w:bottom w:w="75" w:type="dxa"/>
              <w:right w:w="75" w:type="dxa"/>
            </w:tcMar>
            <w:vAlign w:val="center"/>
          </w:tcPr>
          <w:p w14:paraId="33B304AE" w14:textId="77777777" w:rsidR="00C553CF" w:rsidRDefault="00665410">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33B304AF" w14:textId="43294E29" w:rsidR="00C553CF" w:rsidRDefault="00020281">
            <w:pPr>
              <w:spacing w:line="240" w:lineRule="auto"/>
              <w:jc w:val="left"/>
            </w:pPr>
            <w:r>
              <w:t>Biedr</w:t>
            </w:r>
            <w:r w:rsidR="00DA41AE">
              <w:t>ība “</w:t>
            </w:r>
            <w:r w:rsidR="00665410">
              <w:t>Rīgas vācu kultūras biedrība</w:t>
            </w:r>
            <w:r w:rsidR="00DA41AE">
              <w:t>”</w:t>
            </w:r>
          </w:p>
        </w:tc>
        <w:tc>
          <w:tcPr>
            <w:tcW w:w="4056" w:type="dxa"/>
            <w:shd w:val="clear" w:color="auto" w:fill="FFFFFF"/>
            <w:noWrap/>
            <w:tcMar>
              <w:top w:w="75" w:type="dxa"/>
              <w:left w:w="75" w:type="dxa"/>
              <w:bottom w:w="75" w:type="dxa"/>
              <w:right w:w="75" w:type="dxa"/>
            </w:tcMar>
            <w:vAlign w:val="center"/>
          </w:tcPr>
          <w:p w14:paraId="33B304B0" w14:textId="3C6ADF74" w:rsidR="00C553CF" w:rsidRDefault="00665410" w:rsidP="00667FDB">
            <w:pPr>
              <w:spacing w:line="240" w:lineRule="auto"/>
            </w:pPr>
            <w:r>
              <w:t xml:space="preserve">Apsvērt izteikt 6.1. punkta otro daļu šādā redakcijā: “nevalstiskā organizācija ir biedrība vai nodibinājums, kas ir reģistrēta un darbojas Latvijas Republikā vismaz trīs gadus pirms konkursa izsludināšanas. Visas nepieciešamās, aktuālās jomas tiek jau uzskaitītas Noteikumu 6.6. punktā, līdz ar to tagadējā ierosinātā redakcija faktiski rada kolīziju un nevajadzīgu juridisku nesaskaņotību par jomām, kurās NVO var darboties: no vienas puses, nepieciešams atbilst valsts </w:t>
            </w:r>
            <w:r>
              <w:lastRenderedPageBreak/>
              <w:t>un budžeta prioritātēm, no otras – tiek veikts 6.6. punkta uzskaitījums. Tas nav atbalstāmi un rada juridisku haosu.</w:t>
            </w:r>
            <w:r>
              <w:br/>
              <w:t>Izteikt 6.6.1. punktu šādā redakcijā:</w:t>
            </w:r>
            <w:r>
              <w:br/>
              <w:t>“6.6.1. kultūra un māksla;</w:t>
            </w:r>
            <w:r>
              <w:br/>
              <w:t>6.6.2. izglītība (tostarp interešu izglītība, mūžizglītība, pieaugošo izglītība);</w:t>
            </w:r>
            <w:r>
              <w:br/>
              <w:t>6.6.3. veselība (tostarp slimību profilakse) un sports;</w:t>
            </w:r>
            <w:r>
              <w:br/>
              <w:t xml:space="preserve">6.6.4. sabiedrības saliedētība un izaugsme (tostarp sociālā aizsardzība un sociālā labklājība; darbs ar jaunatni; darbs ar ģimenēm; darbs ar senioriem un citām </w:t>
            </w:r>
            <w:proofErr w:type="spellStart"/>
            <w:r>
              <w:t>mazaizsargātām</w:t>
            </w:r>
            <w:proofErr w:type="spellEnd"/>
            <w:r>
              <w:t xml:space="preserve"> grupām);</w:t>
            </w:r>
            <w:r>
              <w:br/>
              <w:t>6.6.5. vides un dabas aizsardzība;</w:t>
            </w:r>
            <w:r>
              <w:br/>
              <w:t>6.6.6.  mediji un žurnālistika;</w:t>
            </w:r>
            <w:r>
              <w:br/>
              <w:t>6.6.7. demokrātija (tostarp interešu pārstāvība);</w:t>
            </w:r>
            <w:r>
              <w:br/>
              <w:t>6.6.8.  pilsoniskā sabiedrība (tostarp diaspora, teritorijas, kopienas un apkaimes attīstība, labdarība, brīvprātīgā darba veicināšana);</w:t>
            </w:r>
            <w:r>
              <w:br/>
              <w:t xml:space="preserve">6.6.9.  cilvēktiesību un indivīda </w:t>
            </w:r>
            <w:r>
              <w:lastRenderedPageBreak/>
              <w:t>tiesību aizsardzība (tostarp mazākumtautības);</w:t>
            </w:r>
            <w:r>
              <w:br/>
              <w:t>6.6.10. citas fonda stratēģijā noteiktās jomas.”</w:t>
            </w:r>
            <w:r>
              <w:br/>
              <w:t>Uzskatām, ka šāds NVO jomu uzskaitījums labāk raksturo SIF darbību nepieciešamās NVO iemaņas un zinātību, lai sekmētu SIF darbu. Nav nepieciešams pielāgoties VID NVO jomu iedalījumam – tam ir cits mērķis un citi formulējumi. Konkurss uz SIF padomes amata vietām ir tematiski un saturiski jāveido atbilstoši SIF darbības jomām un aktualitātēm.</w:t>
            </w:r>
            <w:r>
              <w:br/>
              <w:t>papildināt 7.punktu (prasības NVO pārstāvim) ar vēl 2 kritērijiem:</w:t>
            </w:r>
            <w:r>
              <w:br/>
              <w:t>- kurai nav pasludināts fiziskās personas maksātnespējas process un no tā izbeigšanas dienas ir pagājuši pieci gadi;</w:t>
            </w:r>
            <w:r>
              <w:br/>
              <w:t>- kura ieguvusi parādnieka statusu saskaņā ar Uzturlīdzekļu garantiju fonda likumu.</w:t>
            </w:r>
            <w:r>
              <w:br/>
            </w:r>
            <w:r>
              <w:br/>
              <w:t xml:space="preserve">Rosinām pārdomāt, vai tiešām ir nepieciešama liekvārdība normatīvajos aktos, </w:t>
            </w:r>
            <w:proofErr w:type="spellStart"/>
            <w:r>
              <w:t>expressis</w:t>
            </w:r>
            <w:proofErr w:type="spellEnd"/>
            <w:r>
              <w:t xml:space="preserve"> </w:t>
            </w:r>
            <w:proofErr w:type="spellStart"/>
            <w:r>
              <w:lastRenderedPageBreak/>
              <w:t>verbis</w:t>
            </w:r>
            <w:proofErr w:type="spellEnd"/>
            <w:r>
              <w:t xml:space="preserve"> norādot:</w:t>
            </w:r>
            <w:r>
              <w:br/>
              <w:t>kura pārvalda latviešu valodu un var nodrošināt pilnvērtīgu dalību fonda padomes sēdēs;</w:t>
            </w:r>
            <w:r>
              <w:br/>
              <w:t>kuras rīcībspēju nav ierobežojusi tiesa;</w:t>
            </w:r>
            <w:r>
              <w:br/>
              <w:t>Uzskatām, ka atlases procesā, ja persona nevarēs sniegt prezentāciju latviešu valodā, viennozīmīgi šis kandidāts netiks virzīts tālākai dalībai, jo ir pašsaprotami, ka visās valsts institūcijās darbs notiek valsts valodā.</w:t>
            </w:r>
            <w:r>
              <w:br/>
              <w:t xml:space="preserve">Ja personas rīcībspēja ir ierobežota, tad tās vārdā rīkojas aizgādnis. Arī šādā, mūsu ieskatā 0.001% iespējamā situācijā, ja NVO izvirza personu, kuras vārdā rīkojas aizgādnis, tālāka virzība konkursā būtu izslēgta. Tas ir pašsaprotami, un šāda viennozīmīga tiesību normu izpratne ir izsecināma no visas tiesību sistēmas. Piemēram, likuma “Par tiesu varu” 51.pantā noteiktās tiesnesim izvirzāmās prasības neuzskaita arī rīcībspēju. Vai </w:t>
            </w:r>
            <w:r>
              <w:lastRenderedPageBreak/>
              <w:t>rīcībnespējīga persona varētu sekmīgi virzīties konkursā uz tiesneša amatu?</w:t>
            </w:r>
            <w:r>
              <w:br/>
              <w:t>Normatīvajos aktos nav jāuzskaita visas iespējamās situācijas, tās preventīvi risinot. Latvijā darbojas vispārīgie tiesību principi un veselais saprāts, kas ikvienas iestādes juristam ir jāpiemēro pēc nepieciešamības.</w:t>
            </w:r>
            <w:r>
              <w:br/>
            </w:r>
            <w:r>
              <w:br/>
              <w:t xml:space="preserve">Rosinām apsvērt kandidātu atlasē ieviest dažādības veicināšanas principu (sekmējot, ka vismaz viens no pārstāvjiem ir </w:t>
            </w:r>
            <w:proofErr w:type="spellStart"/>
            <w:r>
              <w:t>mazaizsargātā</w:t>
            </w:r>
            <w:proofErr w:type="spellEnd"/>
            <w:r>
              <w:t xml:space="preserve"> personu grupa, piemēram, persona ar īpašām vajadzībām).</w:t>
            </w:r>
            <w:r>
              <w:br/>
              <w:t xml:space="preserve">Aicinām svītrot 9.3. punkta 9.3.2. apakšpunktu “ar valsts institūcijām un pašvaldībām – ir kādas publiskās pārvaldes konsultatīvā formāta dalībniece un ir paudusi viedokli savā interešu aizstāvības jomā vismaz vienai valsts pārvaldes institūcijai”. Noteikumu projekta 9.4. punkts jau šobrīd paredz NVO pieredzi līdzdalībā </w:t>
            </w:r>
            <w:r>
              <w:lastRenderedPageBreak/>
              <w:t>lēmumu pieņemšanā, politiku veidošanā vai interešu aizstāvībā, tādēļ atsevišķa prasība pēc dalības publiskās pārvaldes konsultatīvā formātā nav nepieciešama.</w:t>
            </w:r>
            <w:r>
              <w:br/>
              <w:t xml:space="preserve">Aicinām Noteikumu projekta II. daļu papildināt ar punktu, kas nosaka, kuros gadījumos NVO pārstāvja aizvietotājs ir tiesīgs aizvietot NVO pārstāvi fonda padomes sēdē vai ievērojami atvieglot aizvietošanas procesu, galveno pārstāvi un aizvietotāju vienlaikus apstiprinot SIF padomē (abas kļūst par amatpersonām). Līdz ar to nepieciešamības gadījumā aizvietotājs katru reizi pārstāv NVO bez kādām atsevišķām birokrātijas procedūrām (arī tad, ja, piemēram, galvenajam pārstāvim notiek paralēla sanāksme vai komandējums </w:t>
            </w:r>
            <w:proofErr w:type="spellStart"/>
            <w:r>
              <w:t>utt</w:t>
            </w:r>
            <w:proofErr w:type="spellEnd"/>
            <w:r>
              <w:t>). </w:t>
            </w:r>
          </w:p>
        </w:tc>
        <w:tc>
          <w:tcPr>
            <w:tcW w:w="1650" w:type="dxa"/>
            <w:shd w:val="clear" w:color="auto" w:fill="FFFFFF"/>
            <w:noWrap/>
            <w:tcMar>
              <w:top w:w="75" w:type="dxa"/>
              <w:left w:w="75" w:type="dxa"/>
              <w:bottom w:w="75" w:type="dxa"/>
              <w:right w:w="75" w:type="dxa"/>
            </w:tcMar>
            <w:vAlign w:val="center"/>
          </w:tcPr>
          <w:p w14:paraId="33B304B1" w14:textId="333B14C4" w:rsidR="00C553CF" w:rsidRPr="00EC651C" w:rsidRDefault="00EC651C" w:rsidP="00EC651C">
            <w:pPr>
              <w:spacing w:line="240" w:lineRule="auto"/>
              <w:jc w:val="center"/>
              <w:rPr>
                <w:b/>
                <w:bCs/>
              </w:rPr>
            </w:pPr>
            <w:r w:rsidRPr="00EC651C">
              <w:rPr>
                <w:b/>
                <w:bCs/>
              </w:rPr>
              <w:lastRenderedPageBreak/>
              <w:t>Nav ņemts vērā</w:t>
            </w:r>
          </w:p>
        </w:tc>
        <w:tc>
          <w:tcPr>
            <w:tcW w:w="4056" w:type="dxa"/>
            <w:shd w:val="clear" w:color="auto" w:fill="FFFFFF"/>
            <w:noWrap/>
            <w:tcMar>
              <w:top w:w="75" w:type="dxa"/>
              <w:left w:w="75" w:type="dxa"/>
              <w:bottom w:w="75" w:type="dxa"/>
              <w:right w:w="75" w:type="dxa"/>
            </w:tcMar>
            <w:vAlign w:val="center"/>
          </w:tcPr>
          <w:p w14:paraId="1FEBBFEA" w14:textId="6543065B" w:rsidR="00C553CF" w:rsidRDefault="00536C13" w:rsidP="00592952">
            <w:pPr>
              <w:pStyle w:val="Sarakstarindkopa"/>
              <w:numPr>
                <w:ilvl w:val="0"/>
                <w:numId w:val="1"/>
              </w:numPr>
              <w:spacing w:line="240" w:lineRule="auto"/>
              <w:ind w:left="0" w:firstLine="0"/>
            </w:pPr>
            <w:r w:rsidRPr="00536C13">
              <w:t xml:space="preserve">Lai nodrošinātu efektīvāku </w:t>
            </w:r>
            <w:r w:rsidR="00D04EF6" w:rsidRPr="00D04EF6">
              <w:t xml:space="preserve">Sabiedrības integrācijas </w:t>
            </w:r>
            <w:r w:rsidR="00EA09F8">
              <w:t xml:space="preserve">fonda (turpmāk – </w:t>
            </w:r>
            <w:r w:rsidRPr="00536C13">
              <w:t>Fond</w:t>
            </w:r>
            <w:r w:rsidR="00EA09F8">
              <w:t>s)</w:t>
            </w:r>
            <w:r w:rsidRPr="00536C13">
              <w:t xml:space="preserve"> padomes darbību un kompetentu nevalstisko organizāciju pārstāvju dalību tajā, Ministru kabineta noteikumu projekts nosaka kritērijus nevalstiskajai organizācijai, kas vēlas deleģēt savu pārstāvi un viņa aizvietotāju darbam Fonda padomē, vienlaikus paredzot Fonda padomei tiesības noteikt prioritārās nevalstisko organizāciju darbības jomas, tādējādi sekmējot tādu nevalstisko organizāciju </w:t>
            </w:r>
            <w:r w:rsidRPr="00536C13">
              <w:lastRenderedPageBreak/>
              <w:t>iesaisti, kuru darbība atbilst Fonda darbības</w:t>
            </w:r>
            <w:r w:rsidR="00983EEE">
              <w:t xml:space="preserve"> </w:t>
            </w:r>
            <w:r w:rsidR="00983EEE" w:rsidRPr="00983EEE">
              <w:t>stratēģiskajiem virzieniem, to izmaiņām atbilstoši nacionālajām prioritātēm vai ģeopolitiskajiem notikumiem un aktualitātēm (Projekta 6.1.</w:t>
            </w:r>
            <w:r w:rsidR="00EA09F8">
              <w:t> </w:t>
            </w:r>
            <w:r w:rsidR="00983EEE" w:rsidRPr="00983EEE">
              <w:t>apakšpunkts).</w:t>
            </w:r>
          </w:p>
          <w:p w14:paraId="317B8444" w14:textId="071CDFF8" w:rsidR="00DA7380" w:rsidRDefault="00DA7380" w:rsidP="004313E1">
            <w:pPr>
              <w:pStyle w:val="Sarakstarindkopa"/>
              <w:numPr>
                <w:ilvl w:val="0"/>
                <w:numId w:val="1"/>
              </w:numPr>
              <w:spacing w:line="240" w:lineRule="auto"/>
              <w:ind w:left="0" w:firstLine="0"/>
            </w:pPr>
            <w:r>
              <w:t>Lai precīzāk atspoguļotu jomas, kurās tiks izraudzītas nevalstiskās organizācijas, kas būs tiesīgas deleģēt savu pārstāvi un viņa aizvietotāju, attiecībā uz nevalstiskās organizācijas statūtos noteikto darbības mērķi un darbības jomu, Projekta 6.6.</w:t>
            </w:r>
            <w:r w:rsidR="00EA09F8">
              <w:t> </w:t>
            </w:r>
            <w:r>
              <w:t>apakšpunkts ir precizēts atbilstoši Ministru kabineta 2024.</w:t>
            </w:r>
            <w:r w:rsidR="00EA09F8">
              <w:t> </w:t>
            </w:r>
            <w:r>
              <w:t>gada 25.</w:t>
            </w:r>
            <w:r w:rsidR="00EA09F8">
              <w:t> </w:t>
            </w:r>
            <w:r>
              <w:t>jūnija noteikumos Nr.</w:t>
            </w:r>
            <w:r w:rsidR="00EA09F8">
              <w:t> </w:t>
            </w:r>
            <w:r>
              <w:t>398 ,,Biedrību un nodibinājumu klasificēšanas noteikumi” noteiktajai klasifikācijai.</w:t>
            </w:r>
          </w:p>
          <w:p w14:paraId="0B1BCFE6" w14:textId="77777777" w:rsidR="00983EEE" w:rsidRDefault="00DA7380" w:rsidP="00592952">
            <w:pPr>
              <w:spacing w:line="240" w:lineRule="auto"/>
            </w:pPr>
            <w:r>
              <w:t xml:space="preserve">Vēršam uzmanību, ka Fonda stratēģija ir iekšējs darba dokuments, kas nosaka Fonda darbības plānošanu, kurā galvenokārt ir iekļauti rādītāji no </w:t>
            </w:r>
            <w:r>
              <w:lastRenderedPageBreak/>
              <w:t>plānošanas dokumentiem Fonda darbības jomā.</w:t>
            </w:r>
          </w:p>
          <w:p w14:paraId="7E8AD372" w14:textId="03B966BE" w:rsidR="00893807" w:rsidRDefault="00893807" w:rsidP="00893807">
            <w:pPr>
              <w:pStyle w:val="Sarakstarindkopa"/>
              <w:numPr>
                <w:ilvl w:val="0"/>
                <w:numId w:val="1"/>
              </w:numPr>
              <w:spacing w:line="240" w:lineRule="auto"/>
              <w:ind w:left="0" w:firstLine="0"/>
            </w:pPr>
            <w:r>
              <w:t xml:space="preserve">Saskaņā ar Sabiedrības integrācijas fonda likuma 9. panta pirmo daļu Fonda padomes sastāvā ir: 1) Ministru prezidenta pārstāvis, kultūras ministrs, izglītības un zinātnes ministrs, labklājības ministrs, vides aizsardzības un reģionālās attīstības ministrs, kā arī tieslietu ministrs; 2) četri nevalstisko organizāciju pārstāvji. No šā likuma neizriet, ka Fonda padomes locekļu tiesību apjoms būtu atšķirīgs. </w:t>
            </w:r>
            <w:r w:rsidR="00C84146" w:rsidRPr="00C84146">
              <w:t>Papildu ierobežojumi nebūtu samērīgi, salīdzinot ar citiem padomes locekļiem, kuriem tādi nav noteikti.</w:t>
            </w:r>
          </w:p>
          <w:p w14:paraId="46D80E2C" w14:textId="77777777" w:rsidR="00D70B8C" w:rsidRDefault="000C7FA6" w:rsidP="00D70B8C">
            <w:pPr>
              <w:pStyle w:val="Sarakstarindkopa"/>
              <w:numPr>
                <w:ilvl w:val="0"/>
                <w:numId w:val="1"/>
              </w:numPr>
              <w:spacing w:line="240" w:lineRule="auto"/>
              <w:ind w:left="0" w:firstLine="0"/>
            </w:pPr>
            <w:r>
              <w:t xml:space="preserve">Lai nodrošinātu efektīvāku Fonda padomes darbību un kompetentu nevalstisko organizāciju pārstāvju dalību tajā, Ministru kabineta noteikumu projekts nosaka kritērijus nevalstiskajai organizācijai, kas vēlas deleģēt savu pārstāvi un viņa </w:t>
            </w:r>
            <w:r>
              <w:lastRenderedPageBreak/>
              <w:t>aizvietotāju darbam Fonda padomē.</w:t>
            </w:r>
          </w:p>
          <w:p w14:paraId="0F147660" w14:textId="77777777" w:rsidR="002670D4" w:rsidRDefault="000C7FA6" w:rsidP="002670D4">
            <w:pPr>
              <w:pStyle w:val="Sarakstarindkopa"/>
              <w:spacing w:line="240" w:lineRule="auto"/>
              <w:ind w:left="0"/>
            </w:pPr>
            <w:r>
              <w:t>Ministru kabineta noteikumu projektā noteiktie ierobežojumi nevalstisko organizāciju deleģētajiem pārstāvjiem un aizvietotājiem ir noteikti, ņemot vērā Fonda padomes pārstāvju amata pienākumus.</w:t>
            </w:r>
          </w:p>
          <w:p w14:paraId="45A4B68B" w14:textId="58214302" w:rsidR="002670D4" w:rsidRDefault="000C7FA6" w:rsidP="002670D4">
            <w:pPr>
              <w:pStyle w:val="Sarakstarindkopa"/>
              <w:spacing w:line="240" w:lineRule="auto"/>
              <w:ind w:left="0"/>
            </w:pPr>
            <w:r>
              <w:t>Saskaņā ar Sabiedrības integrācijas fonda likuma 2. panta pirmo daļu Fonds ir atvasināta publisko tiesību juridiskā persona (publisks nodibinājums), kas tiek izveidots ar likumu un kas darbojas saskaņā ar likumu, citiem</w:t>
            </w:r>
            <w:r w:rsidR="002670D4">
              <w:t xml:space="preserve"> normatīvajiem aktiem un Fonda nolikumu, kuru apstiprina Ministru kabinets. Starp citiem normatīvajiem aktiem, kas regulē tostarp arī Fonda darbību, minams arī Valsts pārvaldes iekārtas likums. Valsts pārvaldes iekārtas likuma mērķis ir nodrošināt demokrātisku, tiesisku, efektīvu, atklātu un sabiedrībai pieejamu valsts pārvaldi. Fonda darbībā ir ievērojams arī Valsts </w:t>
            </w:r>
            <w:r w:rsidR="002670D4">
              <w:lastRenderedPageBreak/>
              <w:t>valodas likumā noteiktais regulējums.</w:t>
            </w:r>
          </w:p>
          <w:p w14:paraId="39D2312A" w14:textId="302DD02F" w:rsidR="00AA2705" w:rsidRDefault="002670D4" w:rsidP="002670D4">
            <w:pPr>
              <w:pStyle w:val="Sarakstarindkopa"/>
              <w:spacing w:line="240" w:lineRule="auto"/>
              <w:ind w:left="0"/>
            </w:pPr>
            <w:r>
              <w:t xml:space="preserve">Ministru kabineta noteikumu projektā minēto ierobežojumu leģitīmais mērķis ir valsts pārvaldes institūcijas pienācīgas darbības nodrošināšana, kā arī valsts demokrātiskās iekārtas aizsardzība. Sabiedrības uzticēšanās valsts institūcijām ir būtisks demokrātijas stabilitātes priekšnoteikums. Attiecīgi </w:t>
            </w:r>
            <w:r w:rsidR="00853566" w:rsidRPr="00853566">
              <w:t xml:space="preserve">Ministru kabineta noteikumu </w:t>
            </w:r>
            <w:r w:rsidR="00853566">
              <w:t>p</w:t>
            </w:r>
            <w:r>
              <w:t>rojektā ietvertie ierobežojumi ir paredzēti, lai nodrošinātu stabilitāti un demokrātiskas valsts pārvaldes efektivitāti, kā arī, lai nodrošinātu, ka nepastāv arī ētiski</w:t>
            </w:r>
            <w:r w:rsidR="001C344F">
              <w:t xml:space="preserve"> </w:t>
            </w:r>
            <w:r w:rsidR="001C344F" w:rsidRPr="001C344F">
              <w:t>un morāli apsvērumi, kāpēc persona nevar kļūt par Fonda padomes locekli.</w:t>
            </w:r>
          </w:p>
          <w:p w14:paraId="1FE1A2A7" w14:textId="77777777" w:rsidR="006669CD" w:rsidRDefault="00972BD0" w:rsidP="006669CD">
            <w:pPr>
              <w:pStyle w:val="Sarakstarindkopa"/>
              <w:numPr>
                <w:ilvl w:val="0"/>
                <w:numId w:val="1"/>
              </w:numPr>
              <w:spacing w:line="240" w:lineRule="auto"/>
              <w:ind w:left="0" w:firstLine="0"/>
            </w:pPr>
            <w:r>
              <w:t xml:space="preserve">Ministru kabineta noteikumu projektā ir noteikti kritēriji nevalstisko organizāciju deleģēto pārstāvju un aizvietotāju kandidatūru izvērtēšanai, lai detalizēti izvērtētu katra kandidāta kompetenci Fonda darbības jomās, darbības pieredzi nevalstiskajā </w:t>
            </w:r>
            <w:r>
              <w:lastRenderedPageBreak/>
              <w:t>organizācijā, kopējo darbības pieredzi nevalstiskajā sektorā vai pilsoniskajā sabiedrībā, kā arī tādas darbam Fonda padomē nepieciešamas prasmes kā vadības, komunikācijas, argumentācijas, sadarbības un stratēģiskās plānošanas prasmes, kā arī izpratni par Fondu, tā mērķiem un darbību un izpratni par valsts pārvaldi un tās darbību.</w:t>
            </w:r>
          </w:p>
          <w:p w14:paraId="5FA3102B" w14:textId="470D82EB" w:rsidR="00482EAD" w:rsidRDefault="00972BD0" w:rsidP="006669CD">
            <w:pPr>
              <w:pStyle w:val="Sarakstarindkopa"/>
              <w:spacing w:line="240" w:lineRule="auto"/>
              <w:ind w:left="0"/>
            </w:pPr>
            <w:r>
              <w:t>Visi kandidāti tiks izvērtēti atbilstoši noteiktajiem kandidātu vērtēšanas kritērijiem</w:t>
            </w:r>
            <w:r w:rsidR="00494781">
              <w:t>,</w:t>
            </w:r>
            <w:r>
              <w:t xml:space="preserve"> ievērojot vienlīdzīgas attieksmes un diskriminācijas aizlieguma  </w:t>
            </w:r>
            <w:r w:rsidR="006669CD" w:rsidRPr="006669CD">
              <w:t>principu,</w:t>
            </w:r>
            <w:r w:rsidR="008013BB">
              <w:t xml:space="preserve"> nekādā veidā</w:t>
            </w:r>
            <w:r w:rsidR="003B67D5">
              <w:t xml:space="preserve"> nesašaurinot </w:t>
            </w:r>
            <w:proofErr w:type="spellStart"/>
            <w:r w:rsidR="006669CD" w:rsidRPr="006669CD">
              <w:t>mazaizsargāto</w:t>
            </w:r>
            <w:proofErr w:type="spellEnd"/>
            <w:r w:rsidR="006669CD" w:rsidRPr="006669CD">
              <w:t xml:space="preserve"> personu grupu pārstāvju</w:t>
            </w:r>
            <w:r w:rsidR="00F518BF">
              <w:t xml:space="preserve"> iespējas pretendēt uz darbu Fonda padomē</w:t>
            </w:r>
            <w:r w:rsidR="006669CD" w:rsidRPr="006669CD">
              <w:t>.</w:t>
            </w:r>
          </w:p>
          <w:p w14:paraId="5AD8D99B" w14:textId="3E12DE17" w:rsidR="000F2903" w:rsidRDefault="000F2903" w:rsidP="0060753B">
            <w:pPr>
              <w:pStyle w:val="Sarakstarindkopa"/>
              <w:numPr>
                <w:ilvl w:val="0"/>
                <w:numId w:val="1"/>
              </w:numPr>
              <w:spacing w:line="240" w:lineRule="auto"/>
              <w:ind w:left="0" w:firstLine="0"/>
            </w:pPr>
            <w:r>
              <w:t>Vēršam uzmanību, ka Ministru kabineta noteikumu projekta 9.3.2.</w:t>
            </w:r>
            <w:r w:rsidR="002243E4">
              <w:t> </w:t>
            </w:r>
            <w:r>
              <w:t xml:space="preserve">apakšpunkts koncentrējas uz formālu sadarbību ar publisko sektoru, t.i.: </w:t>
            </w:r>
          </w:p>
          <w:p w14:paraId="4C20EB8B" w14:textId="77777777" w:rsidR="000F2903" w:rsidRDefault="000F2903" w:rsidP="0060753B">
            <w:pPr>
              <w:pStyle w:val="Sarakstarindkopa"/>
              <w:numPr>
                <w:ilvl w:val="0"/>
                <w:numId w:val="2"/>
              </w:numPr>
              <w:spacing w:line="240" w:lineRule="auto"/>
              <w:ind w:left="113" w:firstLine="0"/>
            </w:pPr>
            <w:r>
              <w:t>NVO piedalās konsultatīvās padomēs, komisijās, darba grupās u.c. struktūrās;</w:t>
            </w:r>
          </w:p>
          <w:p w14:paraId="25F92457" w14:textId="77777777" w:rsidR="000F2903" w:rsidRDefault="000F2903" w:rsidP="0060753B">
            <w:pPr>
              <w:pStyle w:val="Sarakstarindkopa"/>
              <w:numPr>
                <w:ilvl w:val="0"/>
                <w:numId w:val="2"/>
              </w:numPr>
              <w:spacing w:line="240" w:lineRule="auto"/>
              <w:ind w:left="113" w:firstLine="0"/>
            </w:pPr>
            <w:r>
              <w:lastRenderedPageBreak/>
              <w:t>NVO ir paudusi viedokli (piemēram, nosūtījusi priekšlikumus, piedalījusies apspriedēs) kādai konkrētai valsts vai pašvaldības institūcijai.</w:t>
            </w:r>
          </w:p>
          <w:p w14:paraId="53B98F18" w14:textId="1A0795CD" w:rsidR="00D12742" w:rsidRDefault="000F2903" w:rsidP="00F021FA">
            <w:pPr>
              <w:spacing w:line="240" w:lineRule="auto"/>
            </w:pPr>
            <w:r>
              <w:t>Ministru kabineta noteikumu projekta 9.3.2.</w:t>
            </w:r>
            <w:r w:rsidR="00FC2A96">
              <w:t> </w:t>
            </w:r>
            <w:r>
              <w:t>apakšpunkta uzsvars ir uz sadarbības faktiem un dalību formālos procesos ar institūcijām, kamēr 9.4.</w:t>
            </w:r>
            <w:r w:rsidR="00FC2A96">
              <w:t> </w:t>
            </w:r>
            <w:r>
              <w:t>apakšpunkts ir plašāks un būtiskāks pēc satura, jo fokusējas uz reālu ietekmi vai iesaisti lēmumu pieņemšanā, ne tikai dalību formālos procesos, kā arī</w:t>
            </w:r>
            <w:r w:rsidR="0060753B">
              <w:t xml:space="preserve"> </w:t>
            </w:r>
            <w:r w:rsidR="0060753B" w:rsidRPr="0060753B">
              <w:t xml:space="preserve">var ietvert ne tikai valsts institūcijas, bet arī politikas dokumentu izstrādi, kampaņas u.c. Interešu aizstāvība </w:t>
            </w:r>
            <w:r w:rsidR="00FC2A96" w:rsidRPr="00FC2A96">
              <w:t xml:space="preserve">Ministru kabineta noteikumu projekta </w:t>
            </w:r>
            <w:r w:rsidR="0060753B" w:rsidRPr="0060753B">
              <w:t>9.4.</w:t>
            </w:r>
            <w:r w:rsidR="00FC2A96">
              <w:t> </w:t>
            </w:r>
            <w:r w:rsidR="0060753B" w:rsidRPr="0060753B">
              <w:t xml:space="preserve">apakšpunktā ir stratēģiskāka, </w:t>
            </w:r>
            <w:r w:rsidR="00FC2A96">
              <w:t xml:space="preserve">kas ietver </w:t>
            </w:r>
            <w:r w:rsidR="0060753B" w:rsidRPr="0060753B">
              <w:t>ne tikai piedalīšan</w:t>
            </w:r>
            <w:r w:rsidR="00801AB4">
              <w:t>o</w:t>
            </w:r>
            <w:r w:rsidR="0060753B" w:rsidRPr="0060753B">
              <w:t>s, bet arī mēģinājum</w:t>
            </w:r>
            <w:r w:rsidR="00FC2A96">
              <w:t>u</w:t>
            </w:r>
            <w:r w:rsidR="0060753B" w:rsidRPr="0060753B">
              <w:t xml:space="preserve">s panākt izmaiņas, </w:t>
            </w:r>
            <w:r w:rsidR="00801AB4">
              <w:t xml:space="preserve">un </w:t>
            </w:r>
            <w:r w:rsidR="0060753B" w:rsidRPr="0060753B">
              <w:t>uzsvars ir uz organizācijas reālu līdzdalību un ietekmi, ne tikai uz formālu iesaisti.</w:t>
            </w:r>
          </w:p>
          <w:p w14:paraId="1CBFA553" w14:textId="4C0AB861" w:rsidR="00EA2C8A" w:rsidRDefault="00BD1DEC" w:rsidP="00EA2C8A">
            <w:pPr>
              <w:pStyle w:val="Sarakstarindkopa"/>
              <w:numPr>
                <w:ilvl w:val="0"/>
                <w:numId w:val="1"/>
              </w:numPr>
              <w:spacing w:line="240" w:lineRule="auto"/>
              <w:ind w:left="0" w:firstLine="0"/>
            </w:pPr>
            <w:r w:rsidRPr="00BD1DEC">
              <w:t xml:space="preserve">Vēršam uzmanību, ka Ministru kabineta noteikumi ir </w:t>
            </w:r>
            <w:r w:rsidRPr="00BD1DEC">
              <w:lastRenderedPageBreak/>
              <w:t>pakārtoti tiesību akti, kuri izdodami, balstoties uz tiešu likuma deleģējumu. Šajā gadījumā Sabiedrības integrācijas fonda likuma 9.</w:t>
            </w:r>
            <w:r w:rsidR="00801AB4">
              <w:t> </w:t>
            </w:r>
            <w:r w:rsidRPr="00BD1DEC">
              <w:t xml:space="preserve">pants paredz Fonda padomes locekļu deleģēšanu un aizvietošanu. Atbilstoši Ministru kabineta noteikumu projekts nedrīkst grozīt vai paplašināt Sabiedrības integrācijas fonda likumā noteikto regulējumu. Ja </w:t>
            </w:r>
            <w:r w:rsidR="00F24C8C" w:rsidRPr="00F24C8C">
              <w:t xml:space="preserve">Sabiedrības integrācijas fonda </w:t>
            </w:r>
            <w:r w:rsidRPr="00BD1DEC">
              <w:t>likums neparedz iespēju automātiski apstiprināt</w:t>
            </w:r>
            <w:r w:rsidR="00F24C8C">
              <w:t xml:space="preserve"> </w:t>
            </w:r>
            <w:r w:rsidR="00F24C8C" w:rsidRPr="00F24C8C">
              <w:t>Fonda padomes locek</w:t>
            </w:r>
            <w:r w:rsidR="00F24C8C">
              <w:t>ļa</w:t>
            </w:r>
            <w:r w:rsidRPr="00BD1DEC">
              <w:t xml:space="preserve"> aizvietotāju kā līdzvērtīgu Fonda padomes locekli, Ministru</w:t>
            </w:r>
            <w:r>
              <w:t xml:space="preserve"> </w:t>
            </w:r>
            <w:r w:rsidR="00052F74">
              <w:t>kabineta noteikumu projektā šādu mehānismu paredzēt nevar.</w:t>
            </w:r>
          </w:p>
          <w:p w14:paraId="00C8D0F6" w14:textId="77777777" w:rsidR="00EA2C8A" w:rsidRDefault="00052F74" w:rsidP="00EA2C8A">
            <w:pPr>
              <w:pStyle w:val="Sarakstarindkopa"/>
              <w:spacing w:line="240" w:lineRule="auto"/>
              <w:ind w:left="0"/>
            </w:pPr>
            <w:r>
              <w:t xml:space="preserve">Lai arī priekšlikuma mērķis ir samazināt birokrātiju, praktiski tas palielinātu administratīvo slogu, jo būtu nepieciešams apstiprināt un uzturēt uzskaitē divus amatpersonu statusā esošus pārstāvjus no katras nevalstiskās organizācijas, pat ja otrs pārstāvis (aizvietotājs) nekad Fonda padomes sēdēs nepiedalās. </w:t>
            </w:r>
          </w:p>
          <w:p w14:paraId="33B304B2" w14:textId="7CDB368E" w:rsidR="00FB5E3E" w:rsidRDefault="00052F74" w:rsidP="00EA2C8A">
            <w:pPr>
              <w:pStyle w:val="Sarakstarindkopa"/>
              <w:spacing w:line="240" w:lineRule="auto"/>
              <w:ind w:left="0"/>
            </w:pPr>
            <w:r>
              <w:lastRenderedPageBreak/>
              <w:t>Pašreizējā kārtība jau ļauj nevalstiskajai organizācijai iesniegt informāciju par pārstāvja aizvietošanu, kas tiek attiecīgi dokumentēta un pieņemta zināšanai Fonda padomē, tādējādi nodrošinot nepieciešamo līdzsvaru starp elastīgumu un tiesisko skaidrību.</w:t>
            </w:r>
          </w:p>
        </w:tc>
      </w:tr>
      <w:tr w:rsidR="00C553CF" w14:paraId="33B304B9" w14:textId="77777777">
        <w:tc>
          <w:tcPr>
            <w:tcW w:w="750" w:type="dxa"/>
            <w:shd w:val="clear" w:color="auto" w:fill="FFFFFF"/>
            <w:noWrap/>
            <w:tcMar>
              <w:top w:w="75" w:type="dxa"/>
              <w:left w:w="75" w:type="dxa"/>
              <w:bottom w:w="75" w:type="dxa"/>
              <w:right w:w="75" w:type="dxa"/>
            </w:tcMar>
            <w:vAlign w:val="center"/>
          </w:tcPr>
          <w:p w14:paraId="33B304B4" w14:textId="77777777" w:rsidR="00C553CF" w:rsidRDefault="00665410">
            <w:pPr>
              <w:spacing w:line="240" w:lineRule="auto"/>
              <w:jc w:val="center"/>
            </w:pPr>
            <w:r>
              <w:lastRenderedPageBreak/>
              <w:t>2.</w:t>
            </w:r>
          </w:p>
        </w:tc>
        <w:tc>
          <w:tcPr>
            <w:tcW w:w="4055" w:type="dxa"/>
            <w:shd w:val="clear" w:color="auto" w:fill="FFFFFF"/>
            <w:noWrap/>
            <w:tcMar>
              <w:top w:w="75" w:type="dxa"/>
              <w:left w:w="75" w:type="dxa"/>
              <w:bottom w:w="75" w:type="dxa"/>
              <w:right w:w="75" w:type="dxa"/>
            </w:tcMar>
            <w:vAlign w:val="center"/>
          </w:tcPr>
          <w:p w14:paraId="33B304B5" w14:textId="517385B3" w:rsidR="00C553CF" w:rsidRDefault="00667FDB">
            <w:pPr>
              <w:spacing w:line="240" w:lineRule="auto"/>
              <w:jc w:val="left"/>
            </w:pPr>
            <w:r>
              <w:t>Biedrība “</w:t>
            </w:r>
            <w:r w:rsidR="00665410">
              <w:t>Latvijas Pilsoniskā alianse</w:t>
            </w:r>
            <w:r>
              <w:t>”</w:t>
            </w:r>
          </w:p>
        </w:tc>
        <w:tc>
          <w:tcPr>
            <w:tcW w:w="4056" w:type="dxa"/>
            <w:shd w:val="clear" w:color="auto" w:fill="FFFFFF"/>
            <w:noWrap/>
            <w:tcMar>
              <w:top w:w="75" w:type="dxa"/>
              <w:left w:w="75" w:type="dxa"/>
              <w:bottom w:w="75" w:type="dxa"/>
              <w:right w:w="75" w:type="dxa"/>
            </w:tcMar>
            <w:vAlign w:val="center"/>
          </w:tcPr>
          <w:p w14:paraId="33B304B6" w14:textId="5DF6454A" w:rsidR="00C553CF" w:rsidRDefault="00665410" w:rsidP="00667FDB">
            <w:pPr>
              <w:spacing w:line="240" w:lineRule="auto"/>
            </w:pPr>
            <w:r>
              <w:t xml:space="preserve">(1) Attiecībā uz NVO pārstāvju tiesībām tikt deleģētiem Sabiedrības integrācijas fonda (turpmāk - fonds) padomē, </w:t>
            </w:r>
            <w:r>
              <w:rPr>
                <w:b/>
              </w:rPr>
              <w:t>aicinām izteikt 3. un 4. punktu šādā redakcijā:  “3. Nevalstiskā organizācija ir tiesīga deleģēt savu pārstāvi darbam fonda padomē atkārtoti ne vairāk kā divus pilnvaru termiņus pēc kārtas.”</w:t>
            </w:r>
            <w:r>
              <w:t xml:space="preserve"> un</w:t>
            </w:r>
            <w:r>
              <w:br/>
            </w:r>
            <w:r>
              <w:rPr>
                <w:b/>
              </w:rPr>
              <w:t xml:space="preserve">“4. Nevalstiskās organizācijas pārstāvis var tikt deleģēts darbam fonda padomē atkārtoti uz vienu pilnvaru termiņa laiku gadījumā, ja viņš pārstāv citu nevalstisko organizāciju, kura ir tiesīga deleģēt savu pārstāvi </w:t>
            </w:r>
            <w:r>
              <w:rPr>
                <w:b/>
              </w:rPr>
              <w:lastRenderedPageBreak/>
              <w:t>darbam fonda padomē.”</w:t>
            </w:r>
            <w:r>
              <w:br/>
            </w:r>
            <w:r>
              <w:br/>
              <w:t>Uzskatām, ka Noteikumu projektā esošie ierobežojumi gan attiecībā uz organizācijas iespēju deleģēt pārstāvi, gan personas iespēju darboties padomē no citas NVO nav pamatoti.</w:t>
            </w:r>
            <w:r>
              <w:br/>
            </w:r>
            <w:r>
              <w:br/>
              <w:t xml:space="preserve">(2) </w:t>
            </w:r>
            <w:r>
              <w:rPr>
                <w:b/>
              </w:rPr>
              <w:t>Aicinām svītrot 6.1. punkta otro daļu</w:t>
            </w:r>
            <w:r>
              <w:t>: “jomā, kuru fonda padome nosaka par prioritāro, balstoties uz attīstības plānošanas dokumentiem un valsts budžeta prioritātēm. Pirms konkursa izsludināšanas prioritārā joma tiek izvēlēta uz trīs gadu periodu”. Vēršam uzmanību, ka valsts budžeta prioritātes var mainīties ik gadu, kamēr fonda padomes sastāvs, tostarp nevalstisko organizāciju (turpmāk – NVO) pārstāvji, tiek apstiprināts uz trim gadiem.</w:t>
            </w:r>
            <w:r>
              <w:br/>
              <w:t>Tādēļ</w:t>
            </w:r>
            <w:r>
              <w:rPr>
                <w:b/>
              </w:rPr>
              <w:t xml:space="preserve"> aicinām Noteikumu projekta 6.1. punktu izteikt šādā redakcijā:“6.1. nevalstiskā organizācija ir biedrība vai </w:t>
            </w:r>
            <w:r>
              <w:rPr>
                <w:b/>
              </w:rPr>
              <w:lastRenderedPageBreak/>
              <w:t>nodibinājums, kas ir reģistrēta un darbojas Latvijas Republikā vismaz trīs gadus pirms konkursa izsludināšanas;”</w:t>
            </w:r>
            <w:r>
              <w:br/>
            </w:r>
            <w:r>
              <w:br/>
              <w:t xml:space="preserve">(3) </w:t>
            </w:r>
            <w:r>
              <w:rPr>
                <w:b/>
              </w:rPr>
              <w:t>Aicinām svītrot 6.6. punkta 6.6.1.-6.6.13. apakšpunktus</w:t>
            </w:r>
            <w:r>
              <w:t>, kuros uzskaitītas nevalstisko organizāciju specifiskās darbības jomas. Nav skaidrs, pēc kādiem principiem piedāvātajā darbības jomu uzskaitījumā, piemēram, kādēļ ir iekļauta joma “sports un sporta atbalsts”, kas nav tieši saistāma ar fonda stratēģiskajiem darbības virzieniem, kamēr tādas jomas kā, piemēram, “starptautiskā palīdzība un attīstības sadarbība” vai “palīdzības sniegšana katastrofu gadījumos un ārkārtas situācijās” nav iekļautas. LPA ieskatā būtiskākais kritērijs ir tas, lai NVO darbības joma atbilstu fonda stratēģijai un darbības virzieniem.</w:t>
            </w:r>
            <w:r>
              <w:br/>
            </w:r>
            <w:r>
              <w:br/>
              <w:t>Tādēļ aicinām</w:t>
            </w:r>
            <w:r>
              <w:rPr>
                <w:b/>
              </w:rPr>
              <w:t xml:space="preserve"> 6.6. punktu izteikt šādā redakcijā:“6.6. nevalstiskās </w:t>
            </w:r>
            <w:r>
              <w:rPr>
                <w:b/>
              </w:rPr>
              <w:lastRenderedPageBreak/>
              <w:t>organizācijas statūtos noteiktais darbības mērķis un darbības joma atbilstoši Ministru kabineta noteiktajai klasifikācijai vismaz trīs gadus ir tieši saistīta ar fonda stratēģijā noteiktajām jomām”</w:t>
            </w:r>
            <w:r>
              <w:br/>
            </w:r>
            <w:r>
              <w:br/>
              <w:t xml:space="preserve">(4) </w:t>
            </w:r>
            <w:r>
              <w:rPr>
                <w:b/>
              </w:rPr>
              <w:t>Aicinām papildināt 7.punktu</w:t>
            </w:r>
            <w:r>
              <w:t xml:space="preserve"> ar vēl diviem NVO pārstāvju un viņu aizvietotāju kritērijiem:</w:t>
            </w:r>
            <w:r>
              <w:br/>
            </w:r>
            <w:r>
              <w:rPr>
                <w:b/>
              </w:rPr>
              <w:t>“7.8. kurai nav pasludināts fiziskās personas maksātnespējas process un no tā izbeigšanas dienas ir pagājuši pieci gadi;”</w:t>
            </w:r>
            <w:r>
              <w:t>  un</w:t>
            </w:r>
            <w:r>
              <w:br/>
            </w:r>
            <w:r>
              <w:rPr>
                <w:b/>
              </w:rPr>
              <w:t>“7.9. kura nav ieguvusi parādnieka statusu saskaņā ar Uzturlīdzekļu garantiju fonda likumu.”</w:t>
            </w:r>
            <w:r>
              <w:br/>
            </w:r>
            <w:r>
              <w:br/>
              <w:t xml:space="preserve">(5) </w:t>
            </w:r>
            <w:r>
              <w:rPr>
                <w:b/>
              </w:rPr>
              <w:t>Aicinām svītrot 9.3. punkta 9.3.2. apakšpunktu</w:t>
            </w:r>
            <w:r>
              <w:t xml:space="preserve"> “ar valsts institūcijām un pašvaldībām – ir kādas publiskās pārvaldes konsultatīvā formāta dalībniece un ir paudusi viedokli savā interešu aizstāvības jomā vismaz vienai </w:t>
            </w:r>
            <w:r>
              <w:lastRenderedPageBreak/>
              <w:t>valsts pārvaldes institūcijai”. LPA ieskatā, nosacījums par dalību konsultatīvajos mehānismos un viedokļa paušanu valsts institūcijās var kļūt par nepamatotu konkurences ierobežojumu. Vēršam uzmanību, ka Noteikumu projekta 9.4. punkts jau šobrīd paredz NVO pieredzi līdzdalībā lēmumu pieņemšanā, politiku veidošanā vai interešu aizstāvībā, tādēļ atsevišķa prasība pēc dalības publiskās pārvaldes konsultatīvā formātā nav nepieciešama. Turklāt organizācija var būt ļoti kompetenta un daudz iesaistīta lēmumu pieņemšanas procesos, arī ja tā pieteikuma sagatavošanas laikā nav pārstāvēta publiskās pārvaldes konsultatīvos formātos.</w:t>
            </w:r>
            <w:r>
              <w:br/>
            </w:r>
            <w:r>
              <w:br/>
              <w:t xml:space="preserve">(6) </w:t>
            </w:r>
            <w:r>
              <w:rPr>
                <w:b/>
              </w:rPr>
              <w:t xml:space="preserve">Aicinām Noteikumu projekta II daļu papildināt ar punktu, kas nosaka, kuros gadījumos NVO pārstāvja aizvietotājs ir tiesīgs aizvietot NVO pārstāvi fonda padomes sēdē. </w:t>
            </w:r>
            <w:r>
              <w:t xml:space="preserve">LPA vērš uzmanību, ka šobrīd Noteikumu </w:t>
            </w:r>
            <w:r>
              <w:lastRenderedPageBreak/>
              <w:t>projektā nav skaidri noteikti gadījumi, kad NVO pārstāvja aizvietošana ir pieļaujama. Tādēļ aicinām precizēt šos nosacījumus, paredzot konkrētus attaisnojošus iemeslus, piemēram, slimību, atvaļinājumu, bērna kopšanas atvaļinājumu, ilgstošu prombūtni un/vai citus objektīvi pamatotus apstākļus.</w:t>
            </w:r>
          </w:p>
        </w:tc>
        <w:tc>
          <w:tcPr>
            <w:tcW w:w="1650" w:type="dxa"/>
            <w:shd w:val="clear" w:color="auto" w:fill="FFFFFF"/>
            <w:noWrap/>
            <w:tcMar>
              <w:top w:w="75" w:type="dxa"/>
              <w:left w:w="75" w:type="dxa"/>
              <w:bottom w:w="75" w:type="dxa"/>
              <w:right w:w="75" w:type="dxa"/>
            </w:tcMar>
            <w:vAlign w:val="center"/>
          </w:tcPr>
          <w:p w14:paraId="33B304B7" w14:textId="1209F816" w:rsidR="00C553CF" w:rsidRPr="00667FDB" w:rsidRDefault="00667FDB" w:rsidP="00667FDB">
            <w:pPr>
              <w:spacing w:line="240" w:lineRule="auto"/>
              <w:jc w:val="center"/>
              <w:rPr>
                <w:b/>
                <w:bCs/>
              </w:rPr>
            </w:pPr>
            <w:r w:rsidRPr="00667FDB">
              <w:rPr>
                <w:b/>
                <w:bCs/>
              </w:rPr>
              <w:lastRenderedPageBreak/>
              <w:t>Nav ņemts vērā</w:t>
            </w:r>
          </w:p>
        </w:tc>
        <w:tc>
          <w:tcPr>
            <w:tcW w:w="4056" w:type="dxa"/>
            <w:shd w:val="clear" w:color="auto" w:fill="FFFFFF"/>
            <w:noWrap/>
            <w:tcMar>
              <w:top w:w="75" w:type="dxa"/>
              <w:left w:w="75" w:type="dxa"/>
              <w:bottom w:w="75" w:type="dxa"/>
              <w:right w:w="75" w:type="dxa"/>
            </w:tcMar>
            <w:vAlign w:val="center"/>
          </w:tcPr>
          <w:p w14:paraId="6FBAD787" w14:textId="77777777" w:rsidR="00C553CF" w:rsidRDefault="00662032" w:rsidP="00292CAC">
            <w:pPr>
              <w:spacing w:line="240" w:lineRule="auto"/>
            </w:pPr>
            <w:r w:rsidRPr="00662032">
              <w:t>Lūgums skatīties augstāk minētos skaidrojumus par paustajiem priekšlikumiem.</w:t>
            </w:r>
          </w:p>
          <w:p w14:paraId="74B52A88" w14:textId="77777777" w:rsidR="00662032" w:rsidRDefault="00662032" w:rsidP="00292CAC">
            <w:pPr>
              <w:spacing w:line="240" w:lineRule="auto"/>
            </w:pPr>
          </w:p>
          <w:p w14:paraId="324B5130" w14:textId="77777777" w:rsidR="00292CAC" w:rsidRDefault="00292CAC" w:rsidP="00292CAC">
            <w:pPr>
              <w:spacing w:line="240" w:lineRule="auto"/>
            </w:pPr>
            <w:r>
              <w:t xml:space="preserve">Vēršam uzmanību, ka Sabiedrības integrācijas fonda likuma 9. panta otrā daļa nosaka: </w:t>
            </w:r>
          </w:p>
          <w:p w14:paraId="0E766D4E" w14:textId="77777777" w:rsidR="00292CAC" w:rsidRDefault="00292CAC" w:rsidP="00292CAC">
            <w:pPr>
              <w:spacing w:line="240" w:lineRule="auto"/>
            </w:pPr>
            <w:r>
              <w:t xml:space="preserve">“Fonda padomē pārstāvētās nevalstiskās organizācijas izraugās </w:t>
            </w:r>
            <w:r w:rsidRPr="00903A13">
              <w:rPr>
                <w:u w:val="single"/>
              </w:rPr>
              <w:t>uz trim gadiem</w:t>
            </w:r>
            <w:r>
              <w:t xml:space="preserve">. Ministru kabinets nosaka kritērijus, pēc kādiem tiek izraudzītas nevalstiskās organizācijas, kuras ir tiesīgas deleģēt savu pārstāvi darbam Fonda padomē, un kārtību, kādā šīs organizācijas tiek izraudzītas. Fonda padomē iekļauto nevalstisko organizāciju pārstāvju pilnvaras </w:t>
            </w:r>
            <w:r>
              <w:lastRenderedPageBreak/>
              <w:t xml:space="preserve">turpinās, līdz noteiktā kārtībā tiek izraudzītas </w:t>
            </w:r>
            <w:r w:rsidRPr="00562949">
              <w:rPr>
                <w:u w:val="single"/>
              </w:rPr>
              <w:t>citas nevalstiskās organizācijas</w:t>
            </w:r>
            <w:r>
              <w:t xml:space="preserve">, kuras deleģē </w:t>
            </w:r>
            <w:r w:rsidRPr="00562949">
              <w:rPr>
                <w:u w:val="single"/>
              </w:rPr>
              <w:t>citus pārstāvjus</w:t>
            </w:r>
            <w:r>
              <w:t xml:space="preserve"> darbam Fonda padomē.”</w:t>
            </w:r>
          </w:p>
          <w:p w14:paraId="33B304B8" w14:textId="704BF069" w:rsidR="00662032" w:rsidRDefault="00292CAC" w:rsidP="00292CAC">
            <w:pPr>
              <w:spacing w:line="240" w:lineRule="auto"/>
            </w:pPr>
            <w:r>
              <w:t>Ņemot vērā augstāk minēto, nevalstiskās organizācijas pārstāvja dalība Fonda padomē pieļaujama uz vienu pilnvaru termiņu, pēc kura tiek izraudzītas citas nevalstiskās organizācijas, kuras deleģē citus pārstāvjus darbam Fonda padomē, bet tas neliedz šīm organizācijām un to pārstāvjiem atkārtoti pretendēt uz dalību Fonda padomē pēc trīs gadu pārtraukuma.</w:t>
            </w:r>
          </w:p>
        </w:tc>
      </w:tr>
      <w:tr w:rsidR="00C553CF" w14:paraId="33B304BF" w14:textId="77777777">
        <w:tc>
          <w:tcPr>
            <w:tcW w:w="750" w:type="dxa"/>
            <w:shd w:val="clear" w:color="auto" w:fill="FFFFFF"/>
            <w:noWrap/>
            <w:tcMar>
              <w:top w:w="75" w:type="dxa"/>
              <w:left w:w="75" w:type="dxa"/>
              <w:bottom w:w="75" w:type="dxa"/>
              <w:right w:w="75" w:type="dxa"/>
            </w:tcMar>
            <w:vAlign w:val="center"/>
          </w:tcPr>
          <w:p w14:paraId="33B304BA" w14:textId="77777777" w:rsidR="00C553CF" w:rsidRDefault="00665410">
            <w:pPr>
              <w:spacing w:line="240" w:lineRule="auto"/>
              <w:jc w:val="center"/>
            </w:pPr>
            <w:r>
              <w:lastRenderedPageBreak/>
              <w:t>3.</w:t>
            </w:r>
          </w:p>
        </w:tc>
        <w:tc>
          <w:tcPr>
            <w:tcW w:w="4055" w:type="dxa"/>
            <w:shd w:val="clear" w:color="auto" w:fill="FFFFFF"/>
            <w:noWrap/>
            <w:tcMar>
              <w:top w:w="75" w:type="dxa"/>
              <w:left w:w="75" w:type="dxa"/>
              <w:bottom w:w="75" w:type="dxa"/>
              <w:right w:w="75" w:type="dxa"/>
            </w:tcMar>
            <w:vAlign w:val="center"/>
          </w:tcPr>
          <w:p w14:paraId="33B304BB" w14:textId="5A580CE6" w:rsidR="00C553CF" w:rsidRDefault="00AD0D9F">
            <w:pPr>
              <w:spacing w:line="240" w:lineRule="auto"/>
              <w:jc w:val="left"/>
            </w:pPr>
            <w:r>
              <w:t>Biedrība “</w:t>
            </w:r>
            <w:r w:rsidR="00665410">
              <w:t>Ilgtspējīgas uzņēmējdarbības atbalstam</w:t>
            </w:r>
            <w:r>
              <w:t>”</w:t>
            </w:r>
          </w:p>
        </w:tc>
        <w:tc>
          <w:tcPr>
            <w:tcW w:w="4056" w:type="dxa"/>
            <w:shd w:val="clear" w:color="auto" w:fill="FFFFFF"/>
            <w:noWrap/>
            <w:tcMar>
              <w:top w:w="75" w:type="dxa"/>
              <w:left w:w="75" w:type="dxa"/>
              <w:bottom w:w="75" w:type="dxa"/>
              <w:right w:w="75" w:type="dxa"/>
            </w:tcMar>
            <w:vAlign w:val="center"/>
          </w:tcPr>
          <w:p w14:paraId="33B304BC" w14:textId="77777777" w:rsidR="00C553CF" w:rsidRDefault="00665410" w:rsidP="00665410">
            <w:pPr>
              <w:spacing w:line="240" w:lineRule="auto"/>
            </w:pPr>
            <w:r>
              <w:t>Piekrītam LPA un Rīgas Vācu biedrības sagatavotajiem un  iesniegtajiem priekšlikumiem</w:t>
            </w:r>
          </w:p>
        </w:tc>
        <w:tc>
          <w:tcPr>
            <w:tcW w:w="1650" w:type="dxa"/>
            <w:shd w:val="clear" w:color="auto" w:fill="FFFFFF"/>
            <w:noWrap/>
            <w:tcMar>
              <w:top w:w="75" w:type="dxa"/>
              <w:left w:w="75" w:type="dxa"/>
              <w:bottom w:w="75" w:type="dxa"/>
              <w:right w:w="75" w:type="dxa"/>
            </w:tcMar>
            <w:vAlign w:val="center"/>
          </w:tcPr>
          <w:p w14:paraId="33B304BD" w14:textId="549EE05B" w:rsidR="00C553CF" w:rsidRPr="00AD0D9F" w:rsidRDefault="00AD0D9F" w:rsidP="00AD0D9F">
            <w:pPr>
              <w:spacing w:line="240" w:lineRule="auto"/>
              <w:jc w:val="center"/>
              <w:rPr>
                <w:b/>
                <w:bCs/>
              </w:rPr>
            </w:pPr>
            <w:r w:rsidRPr="00AD0D9F">
              <w:rPr>
                <w:b/>
                <w:bCs/>
              </w:rPr>
              <w:t>Ņemts vērā</w:t>
            </w:r>
          </w:p>
        </w:tc>
        <w:tc>
          <w:tcPr>
            <w:tcW w:w="4056" w:type="dxa"/>
            <w:shd w:val="clear" w:color="auto" w:fill="FFFFFF"/>
            <w:noWrap/>
            <w:tcMar>
              <w:top w:w="75" w:type="dxa"/>
              <w:left w:w="75" w:type="dxa"/>
              <w:bottom w:w="75" w:type="dxa"/>
              <w:right w:w="75" w:type="dxa"/>
            </w:tcMar>
            <w:vAlign w:val="center"/>
          </w:tcPr>
          <w:p w14:paraId="33B304BE" w14:textId="78CB28A2" w:rsidR="00C553CF" w:rsidRDefault="00A83D86" w:rsidP="00A83D86">
            <w:pPr>
              <w:spacing w:line="240" w:lineRule="auto"/>
            </w:pPr>
            <w:r w:rsidRPr="00A83D86">
              <w:t>Lūgums skatīties augstāk minētos skaidrojumus par paustajiem priekšlikumiem.</w:t>
            </w:r>
          </w:p>
        </w:tc>
      </w:tr>
    </w:tbl>
    <w:p w14:paraId="33B304C0" w14:textId="77777777" w:rsidR="00C553CF" w:rsidRDefault="00C553CF"/>
    <w:tbl>
      <w:tblPr>
        <w:tblStyle w:val="a"/>
        <w:tblW w:w="14567" w:type="dxa"/>
        <w:tblInd w:w="0" w:type="dxa"/>
        <w:tblLayout w:type="fixed"/>
        <w:tblLook w:val="0600" w:firstRow="0" w:lastRow="0" w:firstColumn="0" w:lastColumn="0" w:noHBand="1" w:noVBand="1"/>
      </w:tblPr>
      <w:tblGrid>
        <w:gridCol w:w="4855"/>
        <w:gridCol w:w="4856"/>
        <w:gridCol w:w="4856"/>
      </w:tblGrid>
      <w:tr w:rsidR="00C553CF" w14:paraId="33B304C4" w14:textId="77777777">
        <w:tc>
          <w:tcPr>
            <w:tcW w:w="4855" w:type="dxa"/>
            <w:shd w:val="clear" w:color="auto" w:fill="FFFFFF"/>
            <w:noWrap/>
            <w:tcMar>
              <w:top w:w="75" w:type="dxa"/>
              <w:left w:w="75" w:type="dxa"/>
              <w:bottom w:w="75" w:type="dxa"/>
              <w:right w:w="75" w:type="dxa"/>
            </w:tcMar>
            <w:vAlign w:val="center"/>
          </w:tcPr>
          <w:p w14:paraId="33B304C1" w14:textId="77777777" w:rsidR="00C553CF" w:rsidRDefault="00665410">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33B304C2" w14:textId="77777777" w:rsidR="00C553CF" w:rsidRDefault="00C553CF">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33B304C3" w14:textId="77777777" w:rsidR="00C553CF" w:rsidRDefault="00C553CF">
            <w:pPr>
              <w:spacing w:line="240" w:lineRule="auto"/>
            </w:pPr>
          </w:p>
        </w:tc>
      </w:tr>
      <w:tr w:rsidR="00C553CF" w14:paraId="33B304C8" w14:textId="77777777">
        <w:tc>
          <w:tcPr>
            <w:tcW w:w="4855" w:type="dxa"/>
            <w:shd w:val="clear" w:color="auto" w:fill="FFFFFF"/>
            <w:noWrap/>
            <w:tcMar>
              <w:top w:w="75" w:type="dxa"/>
              <w:left w:w="75" w:type="dxa"/>
              <w:bottom w:w="75" w:type="dxa"/>
              <w:right w:w="75" w:type="dxa"/>
            </w:tcMar>
            <w:vAlign w:val="center"/>
          </w:tcPr>
          <w:p w14:paraId="33B304C5" w14:textId="77777777" w:rsidR="00C553CF" w:rsidRDefault="00C553CF">
            <w:pPr>
              <w:spacing w:line="240" w:lineRule="auto"/>
            </w:pPr>
          </w:p>
        </w:tc>
        <w:tc>
          <w:tcPr>
            <w:tcW w:w="4856" w:type="dxa"/>
            <w:shd w:val="clear" w:color="auto" w:fill="FFFFFF"/>
            <w:noWrap/>
            <w:tcMar>
              <w:top w:w="75" w:type="dxa"/>
              <w:left w:w="75" w:type="dxa"/>
              <w:bottom w:w="75" w:type="dxa"/>
              <w:right w:w="75" w:type="dxa"/>
            </w:tcMar>
            <w:vAlign w:val="center"/>
          </w:tcPr>
          <w:p w14:paraId="33B304C6" w14:textId="77777777" w:rsidR="00C553CF" w:rsidRDefault="00665410">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3B304C7" w14:textId="77777777" w:rsidR="00C553CF" w:rsidRDefault="00C553CF">
            <w:pPr>
              <w:spacing w:line="240" w:lineRule="auto"/>
            </w:pPr>
          </w:p>
        </w:tc>
      </w:tr>
      <w:tr w:rsidR="00C553CF" w14:paraId="33B304CC" w14:textId="77777777">
        <w:tc>
          <w:tcPr>
            <w:tcW w:w="4855" w:type="dxa"/>
            <w:shd w:val="clear" w:color="auto" w:fill="FFFFFF"/>
            <w:noWrap/>
            <w:tcMar>
              <w:top w:w="75" w:type="dxa"/>
              <w:left w:w="75" w:type="dxa"/>
              <w:bottom w:w="75" w:type="dxa"/>
              <w:right w:w="75" w:type="dxa"/>
            </w:tcMar>
            <w:vAlign w:val="center"/>
          </w:tcPr>
          <w:p w14:paraId="33B304C9" w14:textId="77777777" w:rsidR="00C553CF" w:rsidRDefault="00665410">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33B304CA" w14:textId="77777777" w:rsidR="00C553CF" w:rsidRDefault="00C553CF">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33B304CB" w14:textId="77777777" w:rsidR="00C553CF" w:rsidRDefault="00C553CF">
            <w:pPr>
              <w:spacing w:line="240" w:lineRule="auto"/>
            </w:pPr>
          </w:p>
        </w:tc>
      </w:tr>
      <w:tr w:rsidR="00C553CF" w14:paraId="33B304D0" w14:textId="77777777">
        <w:tc>
          <w:tcPr>
            <w:tcW w:w="4855" w:type="dxa"/>
            <w:shd w:val="clear" w:color="auto" w:fill="FFFFFF"/>
            <w:noWrap/>
            <w:tcMar>
              <w:top w:w="75" w:type="dxa"/>
              <w:left w:w="75" w:type="dxa"/>
              <w:bottom w:w="75" w:type="dxa"/>
              <w:right w:w="75" w:type="dxa"/>
            </w:tcMar>
            <w:vAlign w:val="center"/>
          </w:tcPr>
          <w:p w14:paraId="33B304CD" w14:textId="77777777" w:rsidR="00C553CF" w:rsidRDefault="00C553CF">
            <w:pPr>
              <w:spacing w:line="240" w:lineRule="auto"/>
            </w:pPr>
          </w:p>
        </w:tc>
        <w:tc>
          <w:tcPr>
            <w:tcW w:w="4856" w:type="dxa"/>
            <w:shd w:val="clear" w:color="auto" w:fill="FFFFFF"/>
            <w:noWrap/>
            <w:tcMar>
              <w:top w:w="75" w:type="dxa"/>
              <w:left w:w="75" w:type="dxa"/>
              <w:bottom w:w="75" w:type="dxa"/>
              <w:right w:w="75" w:type="dxa"/>
            </w:tcMar>
            <w:vAlign w:val="center"/>
          </w:tcPr>
          <w:p w14:paraId="33B304CE" w14:textId="77777777" w:rsidR="00C553CF" w:rsidRDefault="00665410">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33B304CF" w14:textId="77777777" w:rsidR="00C553CF" w:rsidRDefault="00C553CF">
            <w:pPr>
              <w:spacing w:line="240" w:lineRule="auto"/>
            </w:pPr>
          </w:p>
        </w:tc>
      </w:tr>
    </w:tbl>
    <w:p w14:paraId="33B304D1" w14:textId="77777777" w:rsidR="00C553CF" w:rsidRDefault="00C553CF"/>
    <w:p w14:paraId="33B304D2" w14:textId="77777777" w:rsidR="00C553CF" w:rsidRDefault="00665410">
      <w:r>
        <w:t>Piezīmes.</w:t>
      </w:r>
    </w:p>
    <w:p w14:paraId="33B304D3" w14:textId="77777777" w:rsidR="00C553CF" w:rsidRDefault="00665410">
      <w:r>
        <w:t>* Iesniedzējs (fiziskai personai – vārds, uzvārds, juridiskai personai – nosaukums) var tikt publiskots, ja viņš tam ir piekritis. Ja attiecināms, iesniedzējs norāda interešu pārstāvja reģistrācijas numuru.</w:t>
      </w:r>
    </w:p>
    <w:p w14:paraId="33B304D4" w14:textId="77777777" w:rsidR="00C553CF" w:rsidRDefault="00665410">
      <w:r>
        <w:t>** Dokumenta rekvizītus "datums" un "paraksts" neaizpilda, ja elektroniskais dokuments ir sagatavots atbilstoši normatīvajiem aktiem par elektronisko dokumentu noformēšanu.</w:t>
      </w:r>
    </w:p>
    <w:sectPr w:rsidR="00C553CF">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304DC" w14:textId="77777777" w:rsidR="00665410" w:rsidRDefault="00665410">
      <w:r>
        <w:separator/>
      </w:r>
    </w:p>
  </w:endnote>
  <w:endnote w:type="continuationSeparator" w:id="0">
    <w:p w14:paraId="33B304DE" w14:textId="77777777" w:rsidR="00665410" w:rsidRDefault="0066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04D6" w14:textId="694AA43F" w:rsidR="00C553CF" w:rsidRDefault="00665410">
    <w:pPr>
      <w:jc w:val="right"/>
    </w:pPr>
    <w:r>
      <w:rPr>
        <w:sz w:val="24"/>
        <w:szCs w:val="24"/>
      </w:rPr>
      <w:fldChar w:fldCharType="begin"/>
    </w:r>
    <w:r>
      <w:rPr>
        <w:sz w:val="24"/>
        <w:szCs w:val="24"/>
      </w:rPr>
      <w:instrText>PAGE</w:instrText>
    </w:r>
    <w:r>
      <w:rPr>
        <w:sz w:val="24"/>
        <w:szCs w:val="24"/>
      </w:rPr>
      <w:fldChar w:fldCharType="separate"/>
    </w:r>
    <w:r w:rsidR="0002028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04E3" w14:textId="77777777" w:rsidR="00665410" w:rsidRDefault="0066541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304D8" w14:textId="77777777" w:rsidR="00665410" w:rsidRDefault="00665410">
      <w:r>
        <w:separator/>
      </w:r>
    </w:p>
  </w:footnote>
  <w:footnote w:type="continuationSeparator" w:id="0">
    <w:p w14:paraId="33B304DA" w14:textId="77777777" w:rsidR="00665410" w:rsidRDefault="00665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04D5" w14:textId="77777777" w:rsidR="00C553CF" w:rsidRDefault="00665410">
    <w:pPr>
      <w:pStyle w:val="Galvene"/>
      <w:contextualSpacing w:val="0"/>
    </w:pPr>
    <w:r>
      <w:t>Viedokļu pārskats 25-TA-1409</w:t>
    </w:r>
    <w:r>
      <w:br/>
      <w:t>Izdrukāts 11.07.2025. 13.43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04D7" w14:textId="77777777" w:rsidR="00C553CF" w:rsidRDefault="00665410">
    <w:pPr>
      <w:pStyle w:val="Galvene"/>
      <w:contextualSpacing w:val="0"/>
    </w:pPr>
    <w:r>
      <w:t>Viedokļu pārskats 25-TA-1409</w:t>
    </w:r>
    <w:r>
      <w:br/>
      <w:t>Izdrukāts 11.07.2025. 13.43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24DED"/>
    <w:multiLevelType w:val="hybridMultilevel"/>
    <w:tmpl w:val="200E2A8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63E52165"/>
    <w:multiLevelType w:val="hybridMultilevel"/>
    <w:tmpl w:val="81BEE9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61210539">
    <w:abstractNumId w:val="1"/>
  </w:num>
  <w:num w:numId="2" w16cid:durableId="8190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CF"/>
    <w:rsid w:val="00020281"/>
    <w:rsid w:val="00052F74"/>
    <w:rsid w:val="000C7FA6"/>
    <w:rsid w:val="000F2903"/>
    <w:rsid w:val="00141DA1"/>
    <w:rsid w:val="001C344F"/>
    <w:rsid w:val="001C3B76"/>
    <w:rsid w:val="002243E4"/>
    <w:rsid w:val="002670D4"/>
    <w:rsid w:val="00292CAC"/>
    <w:rsid w:val="00354B0E"/>
    <w:rsid w:val="003B67D5"/>
    <w:rsid w:val="004313E1"/>
    <w:rsid w:val="00462F37"/>
    <w:rsid w:val="00482EAD"/>
    <w:rsid w:val="00492AAE"/>
    <w:rsid w:val="00494781"/>
    <w:rsid w:val="00536C13"/>
    <w:rsid w:val="00562949"/>
    <w:rsid w:val="00592952"/>
    <w:rsid w:val="005E0703"/>
    <w:rsid w:val="0060753B"/>
    <w:rsid w:val="00662032"/>
    <w:rsid w:val="00665410"/>
    <w:rsid w:val="006669CD"/>
    <w:rsid w:val="00667FDB"/>
    <w:rsid w:val="007C3846"/>
    <w:rsid w:val="008013BB"/>
    <w:rsid w:val="00801AB4"/>
    <w:rsid w:val="008136C8"/>
    <w:rsid w:val="00853566"/>
    <w:rsid w:val="008535AE"/>
    <w:rsid w:val="00893807"/>
    <w:rsid w:val="00903A13"/>
    <w:rsid w:val="0095063B"/>
    <w:rsid w:val="00972BD0"/>
    <w:rsid w:val="00983EEE"/>
    <w:rsid w:val="009E3F92"/>
    <w:rsid w:val="00A44EE8"/>
    <w:rsid w:val="00A83D86"/>
    <w:rsid w:val="00AA2705"/>
    <w:rsid w:val="00AD0D9F"/>
    <w:rsid w:val="00B90A2A"/>
    <w:rsid w:val="00BD1DEC"/>
    <w:rsid w:val="00C553CF"/>
    <w:rsid w:val="00C74F8F"/>
    <w:rsid w:val="00C84146"/>
    <w:rsid w:val="00CB3E07"/>
    <w:rsid w:val="00CE725E"/>
    <w:rsid w:val="00CE7FD6"/>
    <w:rsid w:val="00D04EF6"/>
    <w:rsid w:val="00D12742"/>
    <w:rsid w:val="00D70B8C"/>
    <w:rsid w:val="00D86AD8"/>
    <w:rsid w:val="00DA41AE"/>
    <w:rsid w:val="00DA7380"/>
    <w:rsid w:val="00E9460E"/>
    <w:rsid w:val="00EA09F8"/>
    <w:rsid w:val="00EA2C8A"/>
    <w:rsid w:val="00EC651C"/>
    <w:rsid w:val="00F021FA"/>
    <w:rsid w:val="00F12AE4"/>
    <w:rsid w:val="00F24C8C"/>
    <w:rsid w:val="00F518BF"/>
    <w:rsid w:val="00FB5E3E"/>
    <w:rsid w:val="00FC2A96"/>
    <w:rsid w:val="00FD6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04A7"/>
  <w15:docId w15:val="{203C793E-7377-46DC-B12A-06A4B94B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basedOn w:val="Parasts"/>
    <w:uiPriority w:val="34"/>
    <w:qFormat/>
    <w:rsid w:val="00536C13"/>
    <w:pPr>
      <w:ind w:left="720"/>
      <w:contextualSpacing/>
    </w:pPr>
  </w:style>
  <w:style w:type="paragraph" w:styleId="Prskatjums">
    <w:name w:val="Revision"/>
    <w:hidden/>
    <w:uiPriority w:val="99"/>
    <w:semiHidden/>
    <w:rsid w:val="00D86AD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
        <AccountId xsi:nil="true"/>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0533E-E718-4A73-A7D2-CEB2B3FA9F07}">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customXml/itemProps2.xml><?xml version="1.0" encoding="utf-8"?>
<ds:datastoreItem xmlns:ds="http://schemas.openxmlformats.org/officeDocument/2006/customXml" ds:itemID="{4EDA7207-BB8C-4A80-AA3A-0FEDE4751ED9}">
  <ds:schemaRefs>
    <ds:schemaRef ds:uri="http://schemas.microsoft.com/sharepoint/v3/contenttype/forms"/>
  </ds:schemaRefs>
</ds:datastoreItem>
</file>

<file path=customXml/itemProps3.xml><?xml version="1.0" encoding="utf-8"?>
<ds:datastoreItem xmlns:ds="http://schemas.openxmlformats.org/officeDocument/2006/customXml" ds:itemID="{65E814C4-DC30-4A03-9CF7-BCDCF9A2D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11011</Words>
  <Characters>6277</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viedoklu_parskats_25-TA-1409.docx</vt:lpstr>
    </vt:vector>
  </TitlesOfParts>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viedoklu_parskats_25-TA-1409.docx</dc:title>
  <dc:creator>Lelde Puisāne</dc:creator>
  <cp:lastModifiedBy>Jolanta Ramiņa</cp:lastModifiedBy>
  <cp:revision>2</cp:revision>
  <dcterms:created xsi:type="dcterms:W3CDTF">2025-07-24T08:21:00Z</dcterms:created>
  <dcterms:modified xsi:type="dcterms:W3CDTF">2025-07-24T08:21:00Z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0x0101007B98BB4B34F2884EBFE5D98E9C8C082A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