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66693AD" w14:textId="77777777" w:rsidR="00896432" w:rsidRDefault="00A66798">
      <w:pPr>
        <w:spacing w:after="240"/>
        <w:jc w:val="center"/>
        <w:rPr>
          <w:b/>
        </w:rPr>
      </w:pPr>
      <w:r>
        <w:rPr>
          <w:b/>
        </w:rPr>
        <w:t>“Publiskās apspriešanas laikā 15.10.2025. - 29.10.2025. saņemto viedokļu, priekšlikumu un iebildumu apkopojums par Sabiedrības interesēs iesaistīto personu aizsardzības likums”</w:t>
      </w:r>
    </w:p>
    <w:tbl>
      <w:tblPr>
        <w:tblStyle w:val="a"/>
        <w:tblW w:w="14567"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896432" w14:paraId="1AB7188C" w14:textId="77777777" w:rsidTr="164EA40F">
        <w:tc>
          <w:tcPr>
            <w:tcW w:w="750" w:type="dxa"/>
            <w:shd w:val="clear" w:color="auto" w:fill="FFFFFF" w:themeFill="background1"/>
            <w:noWrap/>
            <w:tcMar>
              <w:top w:w="75" w:type="dxa"/>
              <w:left w:w="75" w:type="dxa"/>
              <w:bottom w:w="75" w:type="dxa"/>
              <w:right w:w="75" w:type="dxa"/>
            </w:tcMar>
            <w:vAlign w:val="center"/>
          </w:tcPr>
          <w:p w14:paraId="483C2465" w14:textId="77777777" w:rsidR="00896432" w:rsidRDefault="00A66798">
            <w:pPr>
              <w:spacing w:line="240" w:lineRule="auto"/>
              <w:jc w:val="center"/>
            </w:pPr>
            <w:r>
              <w:rPr>
                <w:b/>
              </w:rPr>
              <w:t>Nr.p.k.</w:t>
            </w:r>
          </w:p>
        </w:tc>
        <w:tc>
          <w:tcPr>
            <w:tcW w:w="4055" w:type="dxa"/>
            <w:shd w:val="clear" w:color="auto" w:fill="FFFFFF" w:themeFill="background1"/>
            <w:noWrap/>
            <w:tcMar>
              <w:top w:w="75" w:type="dxa"/>
              <w:left w:w="75" w:type="dxa"/>
              <w:bottom w:w="75" w:type="dxa"/>
              <w:right w:w="75" w:type="dxa"/>
            </w:tcMar>
            <w:vAlign w:val="center"/>
          </w:tcPr>
          <w:p w14:paraId="464D1AA5" w14:textId="77777777" w:rsidR="00896432" w:rsidRDefault="00A66798">
            <w:pPr>
              <w:spacing w:line="240" w:lineRule="auto"/>
              <w:jc w:val="center"/>
            </w:pPr>
            <w:r>
              <w:rPr>
                <w:b/>
              </w:rPr>
              <w:t>Viedokļa / priekšlikuma / iebilduma iesniedzējs*</w:t>
            </w:r>
          </w:p>
        </w:tc>
        <w:tc>
          <w:tcPr>
            <w:tcW w:w="4056" w:type="dxa"/>
            <w:shd w:val="clear" w:color="auto" w:fill="FFFFFF" w:themeFill="background1"/>
            <w:noWrap/>
            <w:tcMar>
              <w:top w:w="75" w:type="dxa"/>
              <w:left w:w="75" w:type="dxa"/>
              <w:bottom w:w="75" w:type="dxa"/>
              <w:right w:w="75" w:type="dxa"/>
            </w:tcMar>
            <w:vAlign w:val="center"/>
          </w:tcPr>
          <w:p w14:paraId="1704119F" w14:textId="77777777" w:rsidR="00896432" w:rsidRDefault="00A66798">
            <w:pPr>
              <w:spacing w:line="240" w:lineRule="auto"/>
              <w:jc w:val="center"/>
            </w:pPr>
            <w:r>
              <w:rPr>
                <w:b/>
              </w:rPr>
              <w:t>Iesniegtā viedokļa / priekšlikuma / iebilduma būtība</w:t>
            </w:r>
          </w:p>
        </w:tc>
        <w:tc>
          <w:tcPr>
            <w:tcW w:w="1650" w:type="dxa"/>
            <w:shd w:val="clear" w:color="auto" w:fill="FFFFFF" w:themeFill="background1"/>
            <w:noWrap/>
            <w:tcMar>
              <w:top w:w="75" w:type="dxa"/>
              <w:left w:w="75" w:type="dxa"/>
              <w:bottom w:w="75" w:type="dxa"/>
              <w:right w:w="75" w:type="dxa"/>
            </w:tcMar>
            <w:vAlign w:val="center"/>
          </w:tcPr>
          <w:p w14:paraId="1224C6E6" w14:textId="77777777" w:rsidR="00896432" w:rsidRDefault="00A66798">
            <w:pPr>
              <w:spacing w:line="240" w:lineRule="auto"/>
              <w:jc w:val="center"/>
            </w:pPr>
            <w:r>
              <w:rPr>
                <w:b/>
              </w:rPr>
              <w:t>Ņemts vērā / ņemts vērā daļēji / nav ņemts vērā</w:t>
            </w:r>
          </w:p>
        </w:tc>
        <w:tc>
          <w:tcPr>
            <w:tcW w:w="4056" w:type="dxa"/>
            <w:shd w:val="clear" w:color="auto" w:fill="FFFFFF" w:themeFill="background1"/>
            <w:noWrap/>
            <w:tcMar>
              <w:top w:w="75" w:type="dxa"/>
              <w:left w:w="75" w:type="dxa"/>
              <w:bottom w:w="75" w:type="dxa"/>
              <w:right w:w="75" w:type="dxa"/>
            </w:tcMar>
            <w:vAlign w:val="center"/>
          </w:tcPr>
          <w:p w14:paraId="27EF19A2" w14:textId="77777777" w:rsidR="00896432" w:rsidRDefault="00A66798">
            <w:pPr>
              <w:spacing w:line="240" w:lineRule="auto"/>
              <w:jc w:val="center"/>
            </w:pPr>
            <w:r>
              <w:rPr>
                <w:b/>
              </w:rPr>
              <w:t>Skaidrojums, kādā veidā viedoklis / priekšlikums / iebildums ir ņemts vērā vai ņemts vērā daļēji, vai pamatojums, ja viedoklis / priekšlikums / iebildums nav ņemts vērā</w:t>
            </w:r>
          </w:p>
        </w:tc>
      </w:tr>
      <w:tr w:rsidR="00896432" w:rsidRPr="007673D8" w14:paraId="0DC41A73" w14:textId="77777777" w:rsidTr="164EA40F">
        <w:tc>
          <w:tcPr>
            <w:tcW w:w="750" w:type="dxa"/>
            <w:shd w:val="clear" w:color="auto" w:fill="FFFFFF" w:themeFill="background1"/>
            <w:noWrap/>
            <w:tcMar>
              <w:top w:w="75" w:type="dxa"/>
              <w:left w:w="75" w:type="dxa"/>
              <w:bottom w:w="75" w:type="dxa"/>
              <w:right w:w="75" w:type="dxa"/>
            </w:tcMar>
            <w:vAlign w:val="center"/>
          </w:tcPr>
          <w:p w14:paraId="7D356B47" w14:textId="77777777" w:rsidR="00896432" w:rsidRDefault="00A66798">
            <w:pPr>
              <w:spacing w:line="240" w:lineRule="auto"/>
              <w:jc w:val="center"/>
            </w:pPr>
            <w:r>
              <w:t>1.</w:t>
            </w:r>
          </w:p>
        </w:tc>
        <w:tc>
          <w:tcPr>
            <w:tcW w:w="4055" w:type="dxa"/>
            <w:shd w:val="clear" w:color="auto" w:fill="FFFFFF" w:themeFill="background1"/>
            <w:noWrap/>
            <w:tcMar>
              <w:top w:w="75" w:type="dxa"/>
              <w:left w:w="75" w:type="dxa"/>
              <w:bottom w:w="75" w:type="dxa"/>
              <w:right w:w="75" w:type="dxa"/>
            </w:tcMar>
            <w:vAlign w:val="center"/>
          </w:tcPr>
          <w:p w14:paraId="05617A62" w14:textId="77777777" w:rsidR="00896432" w:rsidRDefault="00A66798">
            <w:pPr>
              <w:spacing w:line="240" w:lineRule="auto"/>
              <w:jc w:val="left"/>
            </w:pPr>
            <w:r>
              <w:t>Elīna Dugnese-Upeniece</w:t>
            </w:r>
          </w:p>
        </w:tc>
        <w:tc>
          <w:tcPr>
            <w:tcW w:w="4056" w:type="dxa"/>
            <w:shd w:val="clear" w:color="auto" w:fill="FFFFFF" w:themeFill="background1"/>
            <w:noWrap/>
            <w:tcMar>
              <w:top w:w="75" w:type="dxa"/>
              <w:left w:w="75" w:type="dxa"/>
              <w:bottom w:w="75" w:type="dxa"/>
              <w:right w:w="75" w:type="dxa"/>
            </w:tcMar>
            <w:vAlign w:val="center"/>
          </w:tcPr>
          <w:p w14:paraId="07A0B12F" w14:textId="77777777" w:rsidR="00896432" w:rsidRDefault="00A66798">
            <w:pPr>
              <w:spacing w:line="240" w:lineRule="auto"/>
              <w:jc w:val="left"/>
            </w:pPr>
            <w:r>
              <w:rPr>
                <w:b/>
              </w:rPr>
              <w:t>Esmu pret šo likumprojektu.</w:t>
            </w:r>
            <w:r>
              <w:br/>
            </w:r>
            <w:r>
              <w:br/>
              <w:t>Ja sabiedrība patiešām darbojas demokrātiski, tad nevienam nav jābaidās no tiesvedības, jo tiesas mērķis ir objektīvi noskaidrot patiesību. Papildu aizsardzības mehānismi var tikt uztverti kā nevajadzīga iejaukšanās tiesu neatkarībā.</w:t>
            </w:r>
            <w:r>
              <w:br/>
            </w:r>
            <w:r>
              <w:br/>
              <w:t xml:space="preserve">•    Likumprojekts var tikt interpretēts kā vienas grupas privileģēšana – piemēram, žurnālistu, aktīvistu vai NVO pārstāvju aizsardzība uz citu pilsoņu rēķina, tādējādi pārkāpjot </w:t>
            </w:r>
            <w:r>
              <w:lastRenderedPageBreak/>
              <w:t>vienlīdzības principu likuma priekšā.</w:t>
            </w:r>
            <w:r>
              <w:br/>
            </w:r>
            <w:r>
              <w:br/>
              <w:t>•    Pastāv risks, ka aizsargājot vienu grupu, tiek apdraudēta citas grupas tiesības uz taisnīgu tiesu – piemēram, personai, kura uzskata, ka par viņu publicēta nepatiesa informācija, tiktu liegta iespēja sevi aizstāvēt.</w:t>
            </w:r>
            <w:r>
              <w:br/>
            </w:r>
            <w:r>
              <w:br/>
              <w:t>Latvijā jau pastāv Civilprocesa likuma mehānismi, kas ļauj tiesai noraidīt nepamatotu vai ļaunprātīgu prasību (piemēram, par prasības pieņemšanu, pierādījumu vērtēšanu u.c.), līdz ar to nav nepieciešams jauns atsevišķs regulējums.</w:t>
            </w:r>
            <w:r>
              <w:br/>
            </w:r>
            <w:r>
              <w:br/>
              <w:t>•    Jaunais likums var radīt juridisku neskaidrību, kā interpretēt, kas tieši ir “stratēģiska tiesvedība” vai “sabiedrības intereses”. Šie jēdzieni ir subjektīvi un var tikt ļaunprātīgi izmantoti.</w:t>
            </w:r>
            <w:r>
              <w:br/>
            </w:r>
            <w:r>
              <w:br/>
            </w:r>
            <w:r>
              <w:lastRenderedPageBreak/>
              <w:t>•    Pastāv risks, ka šāds regulējums ierobežos prasītāju tiesības vērsties tiesā, kas ir viena no pamattiesībām (Satversmes 92. pants – tiesības uz taisnīgu tiesu).</w:t>
            </w:r>
            <w:r>
              <w:br/>
            </w:r>
            <w:r>
              <w:br/>
              <w:t>Žurnālisti vai aktīvisti, zinot, ka viņi ir “aizsargāti ar likumu”, var kļūt mazāk atbildīgi par savu rīcību vai izteikumiem, kas var samazināt kvalitāti medijos un sabiedriskajā komunikācijā. Šobrīd jau ir problēmas ar žurnālistiem un patiesas informācijas sniegšanu sabiedrībai.</w:t>
            </w:r>
          </w:p>
        </w:tc>
        <w:tc>
          <w:tcPr>
            <w:tcW w:w="1650" w:type="dxa"/>
            <w:shd w:val="clear" w:color="auto" w:fill="FFFFFF" w:themeFill="background1"/>
            <w:noWrap/>
            <w:tcMar>
              <w:top w:w="75" w:type="dxa"/>
              <w:left w:w="75" w:type="dxa"/>
              <w:bottom w:w="75" w:type="dxa"/>
              <w:right w:w="75" w:type="dxa"/>
            </w:tcMar>
            <w:vAlign w:val="center"/>
          </w:tcPr>
          <w:p w14:paraId="3ABA18AA" w14:textId="33BA5CB6" w:rsidR="00896432" w:rsidRDefault="002979EC">
            <w:pPr>
              <w:spacing w:line="240" w:lineRule="auto"/>
              <w:jc w:val="left"/>
            </w:pPr>
            <w:r>
              <w:lastRenderedPageBreak/>
              <w:t>Nav ņemts vērā.</w:t>
            </w:r>
          </w:p>
        </w:tc>
        <w:tc>
          <w:tcPr>
            <w:tcW w:w="4056" w:type="dxa"/>
            <w:shd w:val="clear" w:color="auto" w:fill="FFFFFF" w:themeFill="background1"/>
            <w:noWrap/>
            <w:tcMar>
              <w:top w:w="75" w:type="dxa"/>
              <w:left w:w="75" w:type="dxa"/>
              <w:bottom w:w="75" w:type="dxa"/>
              <w:right w:w="75" w:type="dxa"/>
            </w:tcMar>
            <w:vAlign w:val="center"/>
          </w:tcPr>
          <w:p w14:paraId="180C9121" w14:textId="6F30635D" w:rsidR="47FA7A15" w:rsidRDefault="47FA7A15" w:rsidP="164EA40F">
            <w:pPr>
              <w:spacing w:line="240" w:lineRule="auto"/>
              <w:jc w:val="left"/>
            </w:pPr>
            <w:r w:rsidRPr="00A51C66">
              <w:t xml:space="preserve">Pateicamies par iesaistīšanos </w:t>
            </w:r>
            <w:r w:rsidR="00A51C66" w:rsidRPr="00A51C66">
              <w:t xml:space="preserve">likumprojekta </w:t>
            </w:r>
            <w:r w:rsidRPr="00A51C66">
              <w:t>publiskās apspriešanas proc</w:t>
            </w:r>
            <w:r w:rsidR="36AC1F75" w:rsidRPr="00A51C66">
              <w:t>esā</w:t>
            </w:r>
            <w:r w:rsidR="00BC1EF8">
              <w:t xml:space="preserve"> un viedokļa paušanu.</w:t>
            </w:r>
          </w:p>
          <w:p w14:paraId="05453189" w14:textId="77777777" w:rsidR="00A51C66" w:rsidRPr="00A51C66" w:rsidRDefault="00A51C66" w:rsidP="164EA40F">
            <w:pPr>
              <w:spacing w:line="240" w:lineRule="auto"/>
              <w:jc w:val="left"/>
            </w:pPr>
          </w:p>
          <w:p w14:paraId="67E6EDA6" w14:textId="08FC4041" w:rsidR="002979EC" w:rsidRPr="00A51C66" w:rsidRDefault="00A51C66" w:rsidP="002979EC">
            <w:pPr>
              <w:spacing w:line="240" w:lineRule="auto"/>
              <w:jc w:val="left"/>
            </w:pPr>
            <w:r>
              <w:t>Skaidrojam, ka l</w:t>
            </w:r>
            <w:r w:rsidR="002979EC" w:rsidRPr="00A51C66">
              <w:t>ikumprojekta mērķis nav kādu grupu īpaši aizsargāt vai ierobežot citu personu tiesības. Tā galvenais uzdevums ir novērst situācijas, kad tiesvedība tiek izmantota nevis savu</w:t>
            </w:r>
            <w:r w:rsidR="0092636C" w:rsidRPr="00A51C66">
              <w:t xml:space="preserve"> aizskarto</w:t>
            </w:r>
            <w:r w:rsidR="002979EC" w:rsidRPr="00A51C66">
              <w:t xml:space="preserve"> tiesību un </w:t>
            </w:r>
            <w:r w:rsidR="0080294F" w:rsidRPr="00A51C66">
              <w:t xml:space="preserve">ar likumu aizsargāto </w:t>
            </w:r>
            <w:r w:rsidR="002979EC" w:rsidRPr="00A51C66">
              <w:t>interešu aizsardzība</w:t>
            </w:r>
            <w:r w:rsidR="0092636C" w:rsidRPr="00A51C66">
              <w:t>i</w:t>
            </w:r>
            <w:r w:rsidR="002979EC" w:rsidRPr="00A51C66">
              <w:t>, kā arī patiesības noskaidrošanai, bet gan,</w:t>
            </w:r>
            <w:r w:rsidR="00877492" w:rsidRPr="00A51C66">
              <w:t xml:space="preserve"> kā instruments</w:t>
            </w:r>
            <w:r w:rsidR="0080294F" w:rsidRPr="00A51C66">
              <w:t>,</w:t>
            </w:r>
            <w:r w:rsidR="002979EC" w:rsidRPr="00A51C66">
              <w:t xml:space="preserve"> lai apklusinātu personas, kuras darbojas </w:t>
            </w:r>
            <w:r w:rsidR="002979EC" w:rsidRPr="00A51C66">
              <w:lastRenderedPageBreak/>
              <w:t>sabiedrības interesēs (piemēram, pauž viedokli vai sniedz informāciju).</w:t>
            </w:r>
          </w:p>
          <w:p w14:paraId="4C827EA5" w14:textId="77777777" w:rsidR="003501AF" w:rsidRPr="00A51C66" w:rsidRDefault="003501AF" w:rsidP="002979EC">
            <w:pPr>
              <w:spacing w:line="240" w:lineRule="auto"/>
              <w:jc w:val="left"/>
            </w:pPr>
          </w:p>
          <w:p w14:paraId="7A515A78" w14:textId="154C73DD" w:rsidR="003501AF" w:rsidRPr="00A51C66" w:rsidRDefault="003501AF" w:rsidP="002979EC">
            <w:pPr>
              <w:spacing w:line="240" w:lineRule="auto"/>
              <w:jc w:val="left"/>
            </w:pPr>
            <w:r w:rsidRPr="00A51C66">
              <w:t>Šādas tiesvedības tiek dēvētas par stratēģiskām tiesvedībām un ir atzītas par demokrātijai kaitīgu parādību visā Eiropas Savienībā</w:t>
            </w:r>
            <w:r w:rsidR="0003225C">
              <w:t xml:space="preserve"> - </w:t>
            </w:r>
            <w:r w:rsidRPr="00A51C66">
              <w:t xml:space="preserve">tāpēc </w:t>
            </w:r>
            <w:r w:rsidR="00A51C66">
              <w:t>tika</w:t>
            </w:r>
            <w:r w:rsidRPr="00A51C66">
              <w:t xml:space="preserve"> pieņemta </w:t>
            </w:r>
            <w:hyperlink r:id="rId6" w:history="1">
              <w:r w:rsidR="00A51C66" w:rsidRPr="0003225C">
                <w:rPr>
                  <w:rStyle w:val="Hipersaite"/>
                </w:rPr>
                <w:t>Eiropas Parlamenta un Padomes direktīva (ES) 2024/1069 par sabiedrības līdzdalībā iesaistījušos personu aizsardzību</w:t>
              </w:r>
              <w:r w:rsidR="00A51C66" w:rsidRPr="0003225C">
                <w:rPr>
                  <w:rStyle w:val="Hipersaite"/>
                </w:rPr>
                <w:t xml:space="preserve"> </w:t>
              </w:r>
              <w:r w:rsidR="00A51C66" w:rsidRPr="0003225C">
                <w:rPr>
                  <w:rStyle w:val="Hipersaite"/>
                </w:rPr>
                <w:t>pret acīmredzami nepamatotām prasībām vai ļaunprātīgu tiesvedību ("stratēģiska tiesvedība pret sabiedrības līdzdalību")</w:t>
              </w:r>
            </w:hyperlink>
            <w:r w:rsidR="00A51C66" w:rsidRPr="00A51C66">
              <w:t xml:space="preserve"> (turpmāk – Direktīva)</w:t>
            </w:r>
            <w:r w:rsidRPr="00A51C66">
              <w:t xml:space="preserve">, kas paredz dalībvalstīm ieviest aizsardzības mehānismus pret šādām </w:t>
            </w:r>
            <w:r w:rsidR="002118AE">
              <w:t>stratēģiskām</w:t>
            </w:r>
            <w:r w:rsidRPr="00A51C66">
              <w:t xml:space="preserve"> tiesvedībām.</w:t>
            </w:r>
            <w:r w:rsidR="00A51C66">
              <w:t xml:space="preserve"> Ar šo likumprojektu un saistīt</w:t>
            </w:r>
            <w:r w:rsidR="002118AE">
              <w:t>o</w:t>
            </w:r>
            <w:r w:rsidR="00A51C66">
              <w:t xml:space="preserve"> likumprojektu "</w:t>
            </w:r>
            <w:hyperlink r:id="rId7" w:history="1">
              <w:r w:rsidR="00A51C66" w:rsidRPr="002118AE">
                <w:rPr>
                  <w:rStyle w:val="Hipersaite"/>
                </w:rPr>
                <w:t>Grozījumi Civilprocesa likumā" (</w:t>
              </w:r>
              <w:r w:rsidR="00A51C66" w:rsidRPr="002118AE">
                <w:rPr>
                  <w:rStyle w:val="Hipersaite"/>
                </w:rPr>
                <w:t>25-TA-2322</w:t>
              </w:r>
              <w:r w:rsidR="00A51C66" w:rsidRPr="002118AE">
                <w:rPr>
                  <w:rStyle w:val="Hipersaite"/>
                </w:rPr>
                <w:t>)</w:t>
              </w:r>
            </w:hyperlink>
            <w:r w:rsidR="00A51C66">
              <w:t xml:space="preserve"> minētā Direktīva tiek pārņemta Latvijas nacionālajos normatīvajos aktos.</w:t>
            </w:r>
          </w:p>
          <w:p w14:paraId="486B6E6C" w14:textId="77777777" w:rsidR="003501AF" w:rsidRPr="00A51C66" w:rsidRDefault="003501AF" w:rsidP="002979EC">
            <w:pPr>
              <w:spacing w:line="240" w:lineRule="auto"/>
              <w:jc w:val="left"/>
            </w:pPr>
          </w:p>
          <w:p w14:paraId="2B3B3357" w14:textId="13C90E24" w:rsidR="003501AF" w:rsidRPr="00A51C66" w:rsidRDefault="003501AF" w:rsidP="003501AF">
            <w:pPr>
              <w:spacing w:line="240" w:lineRule="auto"/>
              <w:jc w:val="left"/>
            </w:pPr>
            <w:r w:rsidRPr="00A51C66">
              <w:lastRenderedPageBreak/>
              <w:t xml:space="preserve">Likumprojekts paredz konkrētus aizsardzības mehānismus — piemēram, iespēju tiesai izbeigt tiesvedību, noteikt prasītājam pienākumu iemaksāt nodrošinājumu iespējamajiem tiesvedības izdevumiem, segt atbildētājam tiesvedības izmaksas vai piemērot naudas sodu, ja </w:t>
            </w:r>
            <w:r w:rsidR="002118AE">
              <w:t xml:space="preserve">tiesa konstatē, ka </w:t>
            </w:r>
            <w:r w:rsidRPr="00A51C66">
              <w:t>prasība celta ļaunpr</w:t>
            </w:r>
            <w:r w:rsidR="002118AE">
              <w:t xml:space="preserve">ātīgos nolūkos </w:t>
            </w:r>
            <w:r w:rsidRPr="00A51C66">
              <w:t>u.c. aizsardzības mehānismus.</w:t>
            </w:r>
          </w:p>
          <w:p w14:paraId="018FD871" w14:textId="09D763E8" w:rsidR="003501AF" w:rsidRPr="00A51C66" w:rsidRDefault="003501AF" w:rsidP="003501AF">
            <w:pPr>
              <w:spacing w:line="240" w:lineRule="auto"/>
              <w:jc w:val="left"/>
            </w:pPr>
            <w:r w:rsidRPr="00A51C66">
              <w:t xml:space="preserve">Vienlaikus tiesai, kas izskata šādu lietu, būs jāizvērtē, vai attiecīgo </w:t>
            </w:r>
            <w:r w:rsidR="006B3EAE">
              <w:t>aizsardzības mehānismu</w:t>
            </w:r>
            <w:r w:rsidRPr="00A51C66">
              <w:t xml:space="preserve"> piemērošana </w:t>
            </w:r>
            <w:r w:rsidR="002118AE">
              <w:t xml:space="preserve">katrā </w:t>
            </w:r>
            <w:r w:rsidRPr="00A51C66">
              <w:t xml:space="preserve">konkrētajā gadījumā ir pamatota. Tiesa </w:t>
            </w:r>
            <w:r w:rsidR="006B3EAE">
              <w:t>aizsardzības mehānismus</w:t>
            </w:r>
            <w:r w:rsidR="002118AE">
              <w:t xml:space="preserve"> </w:t>
            </w:r>
            <w:r w:rsidRPr="00A51C66">
              <w:t>nepiemēros, ja darbošanās sabiedrības interesēs nav notikusi labā ticībā — piemēram, ja atbildētājs, aizbildinoties ar sabiedrības interesēm, ir izplatījis dezinformāciju vai apzināti safabricējis apgalvojumus, lai kaitētu prasītāja reputācijai.</w:t>
            </w:r>
          </w:p>
          <w:p w14:paraId="6F6ABDF0" w14:textId="77777777" w:rsidR="003501AF" w:rsidRPr="00A51C66" w:rsidRDefault="003501AF" w:rsidP="002979EC">
            <w:pPr>
              <w:spacing w:line="240" w:lineRule="auto"/>
              <w:jc w:val="left"/>
            </w:pPr>
          </w:p>
          <w:p w14:paraId="136D9A2A" w14:textId="77777777" w:rsidR="002979EC" w:rsidRPr="00A51C66" w:rsidRDefault="002979EC" w:rsidP="002979EC">
            <w:pPr>
              <w:spacing w:line="240" w:lineRule="auto"/>
              <w:jc w:val="left"/>
            </w:pPr>
          </w:p>
          <w:p w14:paraId="6EC00ACE" w14:textId="4C32B0D9" w:rsidR="002979EC" w:rsidRPr="00A51C66" w:rsidRDefault="002979EC" w:rsidP="002979EC">
            <w:pPr>
              <w:spacing w:line="240" w:lineRule="auto"/>
              <w:jc w:val="left"/>
            </w:pPr>
            <w:r w:rsidRPr="00A51C66">
              <w:lastRenderedPageBreak/>
              <w:t>Svarīgi uzsvērt, ka šis likumprojekts nemazina tiesu neatkarību un neierobežo personas tiesības vērsties tiesā. Tiesa joprojām izvērtēs katru lietu</w:t>
            </w:r>
            <w:r w:rsidR="006B3EAE">
              <w:t xml:space="preserve"> individuāli</w:t>
            </w:r>
            <w:r w:rsidRPr="00A51C66">
              <w:t xml:space="preserve"> un lems, vai prasība ir pamatota. Ja prasība būs pamatota – tā tiks izskatīta tāpat kā līdz šim.</w:t>
            </w:r>
          </w:p>
          <w:p w14:paraId="3065F7A5" w14:textId="77777777" w:rsidR="00877492" w:rsidRPr="00A51C66" w:rsidRDefault="00877492" w:rsidP="002979EC">
            <w:pPr>
              <w:spacing w:line="240" w:lineRule="auto"/>
              <w:jc w:val="left"/>
            </w:pPr>
          </w:p>
          <w:p w14:paraId="39951460" w14:textId="77777777" w:rsidR="002979EC" w:rsidRPr="00A51C66" w:rsidRDefault="002979EC" w:rsidP="002979EC">
            <w:pPr>
              <w:spacing w:line="240" w:lineRule="auto"/>
              <w:jc w:val="left"/>
            </w:pPr>
            <w:r w:rsidRPr="00A51C66">
              <w:t>Likumprojekts arī nemaina žurnālistu vai citu personu atbildību par nepatiesas informācijas izplatīšanu – par to joprojām būs iespējams vērsties tiesā, un šādas lietas tiks izskatītas kā līdz šim.</w:t>
            </w:r>
          </w:p>
          <w:p w14:paraId="273B76E6" w14:textId="77777777" w:rsidR="002979EC" w:rsidRPr="00A51C66" w:rsidRDefault="002979EC" w:rsidP="002979EC">
            <w:pPr>
              <w:spacing w:line="240" w:lineRule="auto"/>
              <w:jc w:val="left"/>
            </w:pPr>
          </w:p>
          <w:p w14:paraId="1050FB44" w14:textId="5C8E387F" w:rsidR="00896432" w:rsidRPr="00A51C66" w:rsidRDefault="002979EC" w:rsidP="002979EC">
            <w:pPr>
              <w:spacing w:line="240" w:lineRule="auto"/>
              <w:jc w:val="left"/>
            </w:pPr>
            <w:r w:rsidRPr="00A51C66">
              <w:t>Kopumā šis regulējums palīdzēs stiprināt vārda brīvību</w:t>
            </w:r>
            <w:r w:rsidR="0080294F" w:rsidRPr="00A51C66">
              <w:t xml:space="preserve"> </w:t>
            </w:r>
            <w:r w:rsidRPr="00A51C66">
              <w:t xml:space="preserve">un tiesu efektivitāti, neierobežojot </w:t>
            </w:r>
            <w:r w:rsidR="002118AE">
              <w:t>personu</w:t>
            </w:r>
            <w:r w:rsidRPr="00A51C66">
              <w:t xml:space="preserve"> pamattiesības.</w:t>
            </w:r>
          </w:p>
        </w:tc>
      </w:tr>
      <w:tr w:rsidR="00896432" w:rsidRPr="007673D8" w14:paraId="15512239" w14:textId="77777777" w:rsidTr="164EA40F">
        <w:tc>
          <w:tcPr>
            <w:tcW w:w="750" w:type="dxa"/>
            <w:shd w:val="clear" w:color="auto" w:fill="FFFFFF" w:themeFill="background1"/>
            <w:noWrap/>
            <w:tcMar>
              <w:top w:w="75" w:type="dxa"/>
              <w:left w:w="75" w:type="dxa"/>
              <w:bottom w:w="75" w:type="dxa"/>
              <w:right w:w="75" w:type="dxa"/>
            </w:tcMar>
            <w:vAlign w:val="center"/>
          </w:tcPr>
          <w:p w14:paraId="373770D7" w14:textId="77777777" w:rsidR="00896432" w:rsidRDefault="00A66798">
            <w:pPr>
              <w:spacing w:line="240" w:lineRule="auto"/>
              <w:jc w:val="center"/>
            </w:pPr>
            <w:r>
              <w:lastRenderedPageBreak/>
              <w:t>2.</w:t>
            </w:r>
          </w:p>
        </w:tc>
        <w:tc>
          <w:tcPr>
            <w:tcW w:w="4055" w:type="dxa"/>
            <w:shd w:val="clear" w:color="auto" w:fill="FFFFFF" w:themeFill="background1"/>
            <w:noWrap/>
            <w:tcMar>
              <w:top w:w="75" w:type="dxa"/>
              <w:left w:w="75" w:type="dxa"/>
              <w:bottom w:w="75" w:type="dxa"/>
              <w:right w:w="75" w:type="dxa"/>
            </w:tcMar>
            <w:vAlign w:val="center"/>
          </w:tcPr>
          <w:p w14:paraId="64F0B162" w14:textId="77777777" w:rsidR="00896432" w:rsidRDefault="00A66798">
            <w:pPr>
              <w:spacing w:line="240" w:lineRule="auto"/>
              <w:jc w:val="left"/>
            </w:pPr>
            <w:r>
              <w:t>Fiziska persona</w:t>
            </w:r>
          </w:p>
        </w:tc>
        <w:tc>
          <w:tcPr>
            <w:tcW w:w="4056" w:type="dxa"/>
            <w:shd w:val="clear" w:color="auto" w:fill="FFFFFF" w:themeFill="background1"/>
            <w:noWrap/>
            <w:tcMar>
              <w:top w:w="75" w:type="dxa"/>
              <w:left w:w="75" w:type="dxa"/>
              <w:bottom w:w="75" w:type="dxa"/>
              <w:right w:w="75" w:type="dxa"/>
            </w:tcMar>
            <w:vAlign w:val="center"/>
          </w:tcPr>
          <w:p w14:paraId="00D1EF2C" w14:textId="77777777" w:rsidR="00896432" w:rsidRDefault="00A66798">
            <w:pPr>
              <w:spacing w:line="240" w:lineRule="auto"/>
              <w:jc w:val="left"/>
            </w:pPr>
            <w:r>
              <w:rPr>
                <w:b/>
              </w:rPr>
              <w:t>Iebilstu pret šādu likumprojektu, jo dzīvojam demokrātiskā valstī un ikvienam sabiedrības loceklim ir tiesības aizstāvēt savas likumiskās tiesības.</w:t>
            </w:r>
            <w:r>
              <w:br/>
            </w:r>
            <w:r>
              <w:lastRenderedPageBreak/>
              <w:t>Likumprojektā nav skaidri definēts, kas ir darbošanās sabiedrības interesēs. Piemēram: vai vēja parku attīstīšana ir sabiedrības interesēs, vai pret sabiedrības interesēm, jo daļa sabiedrības vēlas lētu enerģiju, bet cita sabiedrības daļa, kas dzīvo tiešā vēja parku tuvumā, tiecas uz dzīvi dabiskā, ekoloģiskā vidē, kas negatīvi neiespaido veselību. Vai cits piemērs: vai dabas liegumu izveidošana privātajos īpašumos ir sabiedrības interesēs, vai nē. Valsts, pašvaldība un zemes (meža) īpašnieks zaudē ienākumus, toties kāda vides sabiedriskā organizācija un DAP no ES fondiem gūst peļņu,</w:t>
            </w:r>
          </w:p>
        </w:tc>
        <w:tc>
          <w:tcPr>
            <w:tcW w:w="1650" w:type="dxa"/>
            <w:shd w:val="clear" w:color="auto" w:fill="FFFFFF" w:themeFill="background1"/>
            <w:noWrap/>
            <w:tcMar>
              <w:top w:w="75" w:type="dxa"/>
              <w:left w:w="75" w:type="dxa"/>
              <w:bottom w:w="75" w:type="dxa"/>
              <w:right w:w="75" w:type="dxa"/>
            </w:tcMar>
            <w:vAlign w:val="center"/>
          </w:tcPr>
          <w:p w14:paraId="10D1140C" w14:textId="543D043E" w:rsidR="00896432" w:rsidRDefault="00877492">
            <w:pPr>
              <w:spacing w:line="240" w:lineRule="auto"/>
              <w:jc w:val="left"/>
            </w:pPr>
            <w:r>
              <w:lastRenderedPageBreak/>
              <w:t>Nav ņemts vērā</w:t>
            </w:r>
            <w:r w:rsidR="00BC1EF8">
              <w:t>.</w:t>
            </w:r>
          </w:p>
        </w:tc>
        <w:tc>
          <w:tcPr>
            <w:tcW w:w="4056" w:type="dxa"/>
            <w:shd w:val="clear" w:color="auto" w:fill="FFFFFF" w:themeFill="background1"/>
            <w:noWrap/>
            <w:tcMar>
              <w:top w:w="75" w:type="dxa"/>
              <w:left w:w="75" w:type="dxa"/>
              <w:bottom w:w="75" w:type="dxa"/>
              <w:right w:w="75" w:type="dxa"/>
            </w:tcMar>
            <w:vAlign w:val="center"/>
          </w:tcPr>
          <w:p w14:paraId="697F00C1" w14:textId="407BC656" w:rsidR="00BC1EF8" w:rsidRDefault="00BC1EF8">
            <w:pPr>
              <w:spacing w:line="240" w:lineRule="auto"/>
              <w:jc w:val="left"/>
            </w:pPr>
            <w:r w:rsidRPr="00BC1EF8">
              <w:t>Pateicamies par iesaistīšanos likumprojekta publiskās apspriešanas procesā un viedokļa paušanu.</w:t>
            </w:r>
          </w:p>
          <w:p w14:paraId="4707B425" w14:textId="77777777" w:rsidR="00BC1EF8" w:rsidRDefault="00BC1EF8">
            <w:pPr>
              <w:spacing w:line="240" w:lineRule="auto"/>
              <w:jc w:val="left"/>
            </w:pPr>
          </w:p>
          <w:p w14:paraId="3FFAD884" w14:textId="058A7BE3" w:rsidR="00896432" w:rsidRPr="00A51C66" w:rsidRDefault="00BC1EF8">
            <w:pPr>
              <w:spacing w:line="240" w:lineRule="auto"/>
              <w:jc w:val="left"/>
            </w:pPr>
            <w:r>
              <w:lastRenderedPageBreak/>
              <w:t>Skaidrojam, ka l</w:t>
            </w:r>
            <w:r w:rsidR="00877492" w:rsidRPr="00A51C66">
              <w:t xml:space="preserve">ikumprojekts neierobežo personas tiesības aizstāvēt savas likumiskās intereses tiesā un nemazina tiesu neatkarību. </w:t>
            </w:r>
            <w:r w:rsidR="005D7F3C">
              <w:t>"</w:t>
            </w:r>
            <w:r w:rsidR="00877492" w:rsidRPr="00A51C66">
              <w:t>Sabiedrības intereses</w:t>
            </w:r>
            <w:r w:rsidR="005D7F3C">
              <w:t>"</w:t>
            </w:r>
            <w:r w:rsidR="00877492" w:rsidRPr="00A51C66">
              <w:t xml:space="preserve"> nav atstātas subjektīvai interpretācijai –definīcija izriet no Direktīvas,</w:t>
            </w:r>
            <w:r w:rsidR="003501AF" w:rsidRPr="00A51C66">
              <w:t xml:space="preserve"> kas ir pārņemta šajā </w:t>
            </w:r>
            <w:r w:rsidR="005D7F3C">
              <w:t>l</w:t>
            </w:r>
            <w:r w:rsidR="003501AF" w:rsidRPr="00A51C66">
              <w:t>ikumprojektā</w:t>
            </w:r>
            <w:r w:rsidR="00877492" w:rsidRPr="00A51C66">
              <w:t xml:space="preserve"> un katrā konkrētā lietā to izvērtēs tiesa, pamatojoties uz faktiem un pierādījumiem. Likumprojekta mērķis nav izlemt, kura sabiedrības daļa vai viedoklis ir </w:t>
            </w:r>
            <w:r w:rsidR="005D7F3C">
              <w:t>"</w:t>
            </w:r>
            <w:r w:rsidR="00877492" w:rsidRPr="00A51C66">
              <w:t>pareizs</w:t>
            </w:r>
            <w:r w:rsidR="005D7F3C">
              <w:t>"</w:t>
            </w:r>
            <w:r w:rsidR="00877492" w:rsidRPr="00A51C66">
              <w:t xml:space="preserve"> — piemēram, attiecībā uz vēja parku attīstīšanu vai dabas liegumu izveidi —, bet gan novērst situācijas, kad tiesvedība tiek ļaunprātīgi izmantota, lai iebiedētu vai apklusinātu personas, kas, piemēr</w:t>
            </w:r>
            <w:r w:rsidR="003501AF" w:rsidRPr="00A51C66">
              <w:t>a</w:t>
            </w:r>
            <w:r w:rsidR="00877492" w:rsidRPr="00A51C66">
              <w:t>m, publiski pauž viedokli vai sniedz informāciju sabiedriski nozīmīgos jautājumos. Tiesības vērsties tiesā un saņemt taisnīgu tiesas aizsardzību paliek pilnībā nodrošinātas.</w:t>
            </w:r>
          </w:p>
        </w:tc>
      </w:tr>
      <w:tr w:rsidR="00896432" w:rsidRPr="007673D8" w14:paraId="4295CCFE" w14:textId="77777777" w:rsidTr="164EA40F">
        <w:tc>
          <w:tcPr>
            <w:tcW w:w="750" w:type="dxa"/>
            <w:shd w:val="clear" w:color="auto" w:fill="FFFFFF" w:themeFill="background1"/>
            <w:noWrap/>
            <w:tcMar>
              <w:top w:w="75" w:type="dxa"/>
              <w:left w:w="75" w:type="dxa"/>
              <w:bottom w:w="75" w:type="dxa"/>
              <w:right w:w="75" w:type="dxa"/>
            </w:tcMar>
            <w:vAlign w:val="center"/>
          </w:tcPr>
          <w:p w14:paraId="649AB3D4" w14:textId="77777777" w:rsidR="00896432" w:rsidRDefault="00A66798">
            <w:pPr>
              <w:spacing w:line="240" w:lineRule="auto"/>
              <w:jc w:val="center"/>
            </w:pPr>
            <w:r>
              <w:lastRenderedPageBreak/>
              <w:t>3.</w:t>
            </w:r>
          </w:p>
        </w:tc>
        <w:tc>
          <w:tcPr>
            <w:tcW w:w="4055" w:type="dxa"/>
            <w:shd w:val="clear" w:color="auto" w:fill="FFFFFF" w:themeFill="background1"/>
            <w:noWrap/>
            <w:tcMar>
              <w:top w:w="75" w:type="dxa"/>
              <w:left w:w="75" w:type="dxa"/>
              <w:bottom w:w="75" w:type="dxa"/>
              <w:right w:w="75" w:type="dxa"/>
            </w:tcMar>
            <w:vAlign w:val="center"/>
          </w:tcPr>
          <w:p w14:paraId="1DF1C507" w14:textId="77777777" w:rsidR="00896432" w:rsidRDefault="00A66798">
            <w:pPr>
              <w:spacing w:line="240" w:lineRule="auto"/>
              <w:jc w:val="left"/>
            </w:pPr>
            <w:r>
              <w:t>Latvijas Pilsoniskā alianse</w:t>
            </w:r>
          </w:p>
        </w:tc>
        <w:tc>
          <w:tcPr>
            <w:tcW w:w="4056" w:type="dxa"/>
            <w:shd w:val="clear" w:color="auto" w:fill="FFFFFF" w:themeFill="background1"/>
            <w:noWrap/>
            <w:tcMar>
              <w:top w:w="75" w:type="dxa"/>
              <w:left w:w="75" w:type="dxa"/>
              <w:bottom w:w="75" w:type="dxa"/>
              <w:right w:w="75" w:type="dxa"/>
            </w:tcMar>
            <w:vAlign w:val="center"/>
          </w:tcPr>
          <w:p w14:paraId="5F205E6E" w14:textId="77777777" w:rsidR="00896432" w:rsidRDefault="00A66798">
            <w:pPr>
              <w:spacing w:line="240" w:lineRule="auto"/>
              <w:jc w:val="left"/>
            </w:pPr>
            <w:r>
              <w:t>Biedrība “Latvijas Pilsoniskā alianse” (turpmāk – LPA) ir iepazinusies ar Tieslietu ministrijas izstrādātu likumprojektu “Sabiedrības interesēs iesaistīto personu aizsardzības likums” (turpmāk – likumprojekts) un sniedz atzinumu.</w:t>
            </w:r>
            <w:r>
              <w:br/>
              <w:t>LPA augstu novērtē likumprojekta mērķi un atzinīgi vērtē pasākumus pilsoniskās telpas un pilsoniskās sabiedrības aizsardzībā, ieviešot Eiropas Parlamenta un Padomes direktīvas (ES) 2024/1069 (turpmāk – direktīvas) prasības nacionālajā likumdošanā. Vienlaikus aicinām izskatīt LPA rekomendācijas likumprojekta pilnveidei.</w:t>
            </w:r>
            <w:r>
              <w:br/>
              <w:t>Aicinām precizēt likumprojekta 1. pantu, precizējot, ka aizsardzība tiek nodrošināta gan fiziskām, gan juridiskām personām, izskatot to šādā redakcijā:</w:t>
            </w:r>
            <w:r>
              <w:br/>
              <w:t xml:space="preserve">“Likuma mērķis ir nodrošināt aizsardzību fiziskām un juridiskām  personām, pret kurām </w:t>
            </w:r>
            <w:r>
              <w:lastRenderedPageBreak/>
              <w:t>tiesā ir celta acīmredzami nepamatota prasība vai prasība ļaunprātīgos nolūkos, saistībā ar šo personu darbošanos sabiedrības interesēs (turpmāk arī – atbildētāji).”</w:t>
            </w:r>
            <w:r>
              <w:br/>
            </w:r>
            <w:r>
              <w:br/>
              <w:t>Aicinām papildināt likumprojekta 2. pantā noteikto sabiedrības interešu jautājumu tvērumu, papildinot to arī ar tādām jomām kā dzimumu līdztiesība, aizsardzība pret dzimumbalstītu vardarbību un nediskriminēšana, un tiesiskuma, biedrošanās, mediju brīvības un plurālisma aizsardzība.</w:t>
            </w:r>
            <w:r>
              <w:br/>
              <w:t xml:space="preserve">Aicinām likumprojekta 3. pantu saskaņot ar likumprojekta mērķi, izsakot to šādā redakcijā: “Acīmredzami nepamatota prasība vai ļaunprātīgos nolūkos celta prasība pret personu saistībā ar tās darbošanos sabiedrības interesēs ir prasība, kas nav celta, lai patiesi aizstāvētu savas aizskartās vai apstrīdētās civilās tiesības vai ar likumu aizsargātās intereses tiesā, </w:t>
            </w:r>
            <w:r>
              <w:lastRenderedPageBreak/>
              <w:t>bet kuras galvenais mērķis ir novērst, ierobežot personu darbošanos sabiedrības interesēs vai sodīt par to, bieži vien izmantojot nevienlīdzīgu pušu spēku samēru.”</w:t>
            </w:r>
            <w:r>
              <w:br/>
              <w:t>Aicinām likumprojekta 4. pantu papildināt, nosakot, ka prasītājam ir pienākumus atbildētājam atlīdzināt arī ļaunprātīgas vai acīmredzami nepamantotas prasības rezultātā radušos kaitējumus, tai skaitā arī reputācijas, nosakot to naudiskā izteiksmē, kā arī noteikt laika ierobežojumus tiesas sēžu rīkošanai vai tiesas lēmuma pieņemšanai, ja konstatēts, ka prasība celta saistībā ar personas darbošanos sabiedrības interesēs.</w:t>
            </w:r>
            <w:r>
              <w:br/>
              <w:t xml:space="preserve">Ir būtiski, ka atbildētājam tiek nodrošināts efektīvs atbalsts, ņemot vērā, ka reizēm ļaunprātīgās tiesvedībās pret sabiedrības līdzdalību prasītāji apzināti atsauc vai groza prasību vai procesuālos dokumentus, lai izvairītos no tā, ka tiesa piespriež </w:t>
            </w:r>
            <w:r>
              <w:lastRenderedPageBreak/>
              <w:t>izmaksu atlīdzināšanu lietas dalībniekam, kuram spriedums ir labvēlīgs, kā tas arī atrunāts Direktīvas 34. pantā.</w:t>
            </w:r>
            <w:r>
              <w:br/>
            </w:r>
            <w:r>
              <w:br/>
              <w:t>Aicinām likumprojekta 5. pantā neiekļaut atrunu, ka tikai biedrības vai nodibinājumi, ja tas saskan ar to darbības mērķiem, var atbalstīt personu pret kuru tiesā celta prasība saistībā ar personas darbošanos sabiedrības interesēs. Vēršam uzmanību, ka biedrību statūtos definētie mērķi var būt ļoti plaši un nekonkrēti, un pilnībā neatspoguļo biedrības un nodibinājuma darbību, tostarp īstenotās aktivitātes, kompetences un zināšanas, tādēļ aicinām izteikt likumprojekta 5. pantu šādā redakcijā:</w:t>
            </w:r>
            <w:r>
              <w:br/>
              <w:t xml:space="preserve">“Biedrības un nodibinājumi, tostarp arodbiedrības un to apvienības, kā arī citi subjekti, var atbalstīt personu, pret kuru tiesā ir celta prasība saistībā ar šīs personas darbošanos sabiedrības interesēs, ja šī persona tam piekrīt, </w:t>
            </w:r>
            <w:r>
              <w:lastRenderedPageBreak/>
              <w:t>vai pēc tiesas pieprasījuma sniegt tādu informāciju minētajā tiesvedībā, kas varētu palīdzēt tiesai noskaidrot, vai saistībā ar personas darbošanos sabiedrības interesēs pret viņu ir celta acīmredzami nepamatota prasība vai tā celta ļaunprātīgos nolūkos.”</w:t>
            </w:r>
            <w:r>
              <w:br/>
              <w:t>Tāpat aicinām likumprojekta 5. pantu papildināt, konkrētāk nosakot kādu atbalstu atbildētājam biedrības un nodibinājumi var sniegt, sniedzot lietā būtisku informāciju un iestājoties lietā atbildētāja atbalstam tiesvedībā, tostarp sniedzot arī finansiālu atbalstu, kas netiktu aplikts ar Iedzīvotāju ienākumu nodokli.</w:t>
            </w:r>
            <w:r>
              <w:br/>
              <w:t xml:space="preserve">Kopumā aicinām likumprojekta tvērumu paplašināt, ka aizsardzība pret ļaunprātīgos nolūkos celtām prasībām pret personu saistībā ar tās darbošanos sabiedrības interesēs, ir attiecināma ne tikai uz civillietām vai komerclietām, bet arī administratīvajām un krimināllietām, lai nodrošinātu visaptverošu un efektīvu tiesisko </w:t>
            </w:r>
            <w:r>
              <w:lastRenderedPageBreak/>
              <w:t>aizsardzību personām, kas darbojas sabiedrības interesēs.</w:t>
            </w:r>
          </w:p>
        </w:tc>
        <w:tc>
          <w:tcPr>
            <w:tcW w:w="1650" w:type="dxa"/>
            <w:shd w:val="clear" w:color="auto" w:fill="FFFFFF" w:themeFill="background1"/>
            <w:noWrap/>
            <w:tcMar>
              <w:top w:w="75" w:type="dxa"/>
              <w:left w:w="75" w:type="dxa"/>
              <w:bottom w:w="75" w:type="dxa"/>
              <w:right w:w="75" w:type="dxa"/>
            </w:tcMar>
            <w:vAlign w:val="center"/>
          </w:tcPr>
          <w:p w14:paraId="77D38756" w14:textId="77777777" w:rsidR="00896432" w:rsidRDefault="00896432">
            <w:pPr>
              <w:spacing w:line="240" w:lineRule="auto"/>
              <w:jc w:val="left"/>
            </w:pPr>
          </w:p>
        </w:tc>
        <w:tc>
          <w:tcPr>
            <w:tcW w:w="4056" w:type="dxa"/>
            <w:shd w:val="clear" w:color="auto" w:fill="FFFFFF" w:themeFill="background1"/>
            <w:noWrap/>
            <w:tcMar>
              <w:top w:w="75" w:type="dxa"/>
              <w:left w:w="75" w:type="dxa"/>
              <w:bottom w:w="75" w:type="dxa"/>
              <w:right w:w="75" w:type="dxa"/>
            </w:tcMar>
            <w:vAlign w:val="center"/>
          </w:tcPr>
          <w:p w14:paraId="08FBE53B" w14:textId="3287AFB1" w:rsidR="00896432" w:rsidRPr="005D7F3C" w:rsidRDefault="56725B1C" w:rsidP="164EA40F">
            <w:pPr>
              <w:spacing w:line="240" w:lineRule="auto"/>
              <w:jc w:val="left"/>
            </w:pPr>
            <w:r w:rsidRPr="005D7F3C">
              <w:t xml:space="preserve">Ņemot vērā, ka </w:t>
            </w:r>
            <w:r w:rsidR="00A51C66" w:rsidRPr="005D7F3C">
              <w:t>b</w:t>
            </w:r>
            <w:r w:rsidRPr="005D7F3C">
              <w:t>iedrība “Latvijas Pilsoniskā alianse” sniedz</w:t>
            </w:r>
            <w:r w:rsidR="7605AD20" w:rsidRPr="005D7F3C">
              <w:t xml:space="preserve"> </w:t>
            </w:r>
            <w:r w:rsidRPr="005D7F3C">
              <w:t xml:space="preserve">identiska satura priekšlikumus atzinuma formā, </w:t>
            </w:r>
            <w:r w:rsidR="59315B36" w:rsidRPr="005D7F3C">
              <w:t>norādām, ka</w:t>
            </w:r>
            <w:r w:rsidRPr="005D7F3C">
              <w:t xml:space="preserve"> Tieslietu ministrijas atbildes uz</w:t>
            </w:r>
            <w:r w:rsidR="0B31CD1D" w:rsidRPr="005D7F3C">
              <w:t xml:space="preserve"> šiem</w:t>
            </w:r>
            <w:r w:rsidRPr="005D7F3C">
              <w:t xml:space="preserve"> priekšlikumiem iekļautas likumprojekta izziņā. </w:t>
            </w:r>
            <w:r w:rsidR="0080517E">
              <w:t>Pateicamies par iesaisti!</w:t>
            </w:r>
          </w:p>
        </w:tc>
      </w:tr>
    </w:tbl>
    <w:p w14:paraId="07E60DD5" w14:textId="77777777" w:rsidR="00896432" w:rsidRDefault="00896432"/>
    <w:tbl>
      <w:tblPr>
        <w:tblStyle w:val="a"/>
        <w:tblW w:w="14567" w:type="dxa"/>
        <w:tblInd w:w="0" w:type="dxa"/>
        <w:tblLayout w:type="fixed"/>
        <w:tblLook w:val="0600" w:firstRow="0" w:lastRow="0" w:firstColumn="0" w:lastColumn="0" w:noHBand="1" w:noVBand="1"/>
      </w:tblPr>
      <w:tblGrid>
        <w:gridCol w:w="4855"/>
        <w:gridCol w:w="4856"/>
        <w:gridCol w:w="4856"/>
      </w:tblGrid>
      <w:tr w:rsidR="00896432" w14:paraId="546B9E61" w14:textId="77777777">
        <w:tc>
          <w:tcPr>
            <w:tcW w:w="4855" w:type="dxa"/>
            <w:shd w:val="clear" w:color="auto" w:fill="FFFFFF"/>
            <w:noWrap/>
            <w:tcMar>
              <w:top w:w="75" w:type="dxa"/>
              <w:left w:w="75" w:type="dxa"/>
              <w:bottom w:w="75" w:type="dxa"/>
              <w:right w:w="75" w:type="dxa"/>
            </w:tcMar>
            <w:vAlign w:val="center"/>
          </w:tcPr>
          <w:p w14:paraId="1FAD6AE4" w14:textId="77777777" w:rsidR="00896432" w:rsidRDefault="00A66798">
            <w:pPr>
              <w:spacing w:line="240" w:lineRule="auto"/>
              <w:jc w:val="left"/>
            </w:pPr>
            <w:r>
              <w:t>Datums**</w:t>
            </w:r>
          </w:p>
        </w:tc>
        <w:tc>
          <w:tcPr>
            <w:tcW w:w="4856" w:type="dxa"/>
            <w:shd w:val="clear" w:color="auto" w:fill="FFFFFF"/>
            <w:noWrap/>
            <w:tcMar>
              <w:top w:w="75" w:type="dxa"/>
              <w:left w:w="75" w:type="dxa"/>
              <w:bottom w:w="75" w:type="dxa"/>
              <w:right w:w="75" w:type="dxa"/>
            </w:tcMar>
            <w:vAlign w:val="center"/>
          </w:tcPr>
          <w:p w14:paraId="5AEA5D61" w14:textId="77777777" w:rsidR="00896432" w:rsidRDefault="00896432">
            <w:pPr>
              <w:pBdr>
                <w:bottom w:val="single" w:sz="10" w:space="1" w:color="000000"/>
              </w:pBdr>
              <w:spacing w:line="240" w:lineRule="auto"/>
            </w:pPr>
          </w:p>
        </w:tc>
        <w:tc>
          <w:tcPr>
            <w:tcW w:w="4856" w:type="dxa"/>
            <w:shd w:val="clear" w:color="auto" w:fill="FFFFFF"/>
            <w:noWrap/>
            <w:tcMar>
              <w:top w:w="75" w:type="dxa"/>
              <w:left w:w="75" w:type="dxa"/>
              <w:bottom w:w="75" w:type="dxa"/>
              <w:right w:w="75" w:type="dxa"/>
            </w:tcMar>
            <w:vAlign w:val="center"/>
          </w:tcPr>
          <w:p w14:paraId="6C0D470D" w14:textId="77777777" w:rsidR="00896432" w:rsidRDefault="00896432">
            <w:pPr>
              <w:spacing w:line="240" w:lineRule="auto"/>
            </w:pPr>
          </w:p>
        </w:tc>
      </w:tr>
      <w:tr w:rsidR="00896432" w14:paraId="71EB2A3E" w14:textId="77777777">
        <w:tc>
          <w:tcPr>
            <w:tcW w:w="4855" w:type="dxa"/>
            <w:shd w:val="clear" w:color="auto" w:fill="FFFFFF"/>
            <w:noWrap/>
            <w:tcMar>
              <w:top w:w="75" w:type="dxa"/>
              <w:left w:w="75" w:type="dxa"/>
              <w:bottom w:w="75" w:type="dxa"/>
              <w:right w:w="75" w:type="dxa"/>
            </w:tcMar>
            <w:vAlign w:val="center"/>
          </w:tcPr>
          <w:p w14:paraId="3FA7D55E" w14:textId="77777777" w:rsidR="00896432" w:rsidRDefault="00896432">
            <w:pPr>
              <w:spacing w:line="240" w:lineRule="auto"/>
            </w:pPr>
          </w:p>
        </w:tc>
        <w:tc>
          <w:tcPr>
            <w:tcW w:w="4856" w:type="dxa"/>
            <w:shd w:val="clear" w:color="auto" w:fill="FFFFFF"/>
            <w:noWrap/>
            <w:tcMar>
              <w:top w:w="75" w:type="dxa"/>
              <w:left w:w="75" w:type="dxa"/>
              <w:bottom w:w="75" w:type="dxa"/>
              <w:right w:w="75" w:type="dxa"/>
            </w:tcMar>
            <w:vAlign w:val="center"/>
          </w:tcPr>
          <w:p w14:paraId="24B140BB" w14:textId="77777777" w:rsidR="00896432" w:rsidRDefault="00A66798">
            <w:pPr>
              <w:spacing w:line="240" w:lineRule="auto"/>
              <w:jc w:val="center"/>
            </w:pPr>
            <w:r>
              <w:t>(dd.mm.gggg)</w:t>
            </w:r>
          </w:p>
        </w:tc>
        <w:tc>
          <w:tcPr>
            <w:tcW w:w="4856" w:type="dxa"/>
            <w:shd w:val="clear" w:color="auto" w:fill="FFFFFF"/>
            <w:noWrap/>
            <w:tcMar>
              <w:top w:w="75" w:type="dxa"/>
              <w:left w:w="75" w:type="dxa"/>
              <w:bottom w:w="75" w:type="dxa"/>
              <w:right w:w="75" w:type="dxa"/>
            </w:tcMar>
            <w:vAlign w:val="center"/>
          </w:tcPr>
          <w:p w14:paraId="3F0D07A5" w14:textId="77777777" w:rsidR="00896432" w:rsidRDefault="00896432">
            <w:pPr>
              <w:spacing w:line="240" w:lineRule="auto"/>
            </w:pPr>
          </w:p>
        </w:tc>
      </w:tr>
      <w:tr w:rsidR="00896432" w14:paraId="1C120954" w14:textId="77777777">
        <w:tc>
          <w:tcPr>
            <w:tcW w:w="4855" w:type="dxa"/>
            <w:shd w:val="clear" w:color="auto" w:fill="FFFFFF"/>
            <w:noWrap/>
            <w:tcMar>
              <w:top w:w="75" w:type="dxa"/>
              <w:left w:w="75" w:type="dxa"/>
              <w:bottom w:w="75" w:type="dxa"/>
              <w:right w:w="75" w:type="dxa"/>
            </w:tcMar>
            <w:vAlign w:val="center"/>
          </w:tcPr>
          <w:p w14:paraId="65C07C8A" w14:textId="77777777" w:rsidR="00896432" w:rsidRDefault="00A66798">
            <w:pPr>
              <w:spacing w:line="240" w:lineRule="auto"/>
              <w:jc w:val="left"/>
            </w:pPr>
            <w:r>
              <w:t>Atbildīgā persona</w:t>
            </w:r>
          </w:p>
        </w:tc>
        <w:tc>
          <w:tcPr>
            <w:tcW w:w="4856" w:type="dxa"/>
            <w:shd w:val="clear" w:color="auto" w:fill="FFFFFF"/>
            <w:noWrap/>
            <w:tcMar>
              <w:top w:w="75" w:type="dxa"/>
              <w:left w:w="75" w:type="dxa"/>
              <w:bottom w:w="75" w:type="dxa"/>
              <w:right w:w="75" w:type="dxa"/>
            </w:tcMar>
            <w:vAlign w:val="center"/>
          </w:tcPr>
          <w:p w14:paraId="2476A941" w14:textId="77777777" w:rsidR="00896432" w:rsidRDefault="00896432">
            <w:pPr>
              <w:pBdr>
                <w:bottom w:val="single" w:sz="10" w:space="1" w:color="000000"/>
              </w:pBdr>
              <w:spacing w:line="240" w:lineRule="auto"/>
            </w:pPr>
          </w:p>
        </w:tc>
        <w:tc>
          <w:tcPr>
            <w:tcW w:w="4856" w:type="dxa"/>
            <w:shd w:val="clear" w:color="auto" w:fill="FFFFFF"/>
            <w:noWrap/>
            <w:tcMar>
              <w:top w:w="75" w:type="dxa"/>
              <w:left w:w="75" w:type="dxa"/>
              <w:bottom w:w="75" w:type="dxa"/>
              <w:right w:w="75" w:type="dxa"/>
            </w:tcMar>
            <w:vAlign w:val="center"/>
          </w:tcPr>
          <w:p w14:paraId="7747E466" w14:textId="77777777" w:rsidR="00896432" w:rsidRDefault="00896432">
            <w:pPr>
              <w:spacing w:line="240" w:lineRule="auto"/>
            </w:pPr>
          </w:p>
        </w:tc>
      </w:tr>
      <w:tr w:rsidR="00896432" w14:paraId="6E5047A1" w14:textId="77777777">
        <w:tc>
          <w:tcPr>
            <w:tcW w:w="4855" w:type="dxa"/>
            <w:shd w:val="clear" w:color="auto" w:fill="FFFFFF"/>
            <w:noWrap/>
            <w:tcMar>
              <w:top w:w="75" w:type="dxa"/>
              <w:left w:w="75" w:type="dxa"/>
              <w:bottom w:w="75" w:type="dxa"/>
              <w:right w:w="75" w:type="dxa"/>
            </w:tcMar>
            <w:vAlign w:val="center"/>
          </w:tcPr>
          <w:p w14:paraId="7AFCA11F" w14:textId="77777777" w:rsidR="00896432" w:rsidRDefault="00896432">
            <w:pPr>
              <w:spacing w:line="240" w:lineRule="auto"/>
            </w:pPr>
          </w:p>
        </w:tc>
        <w:tc>
          <w:tcPr>
            <w:tcW w:w="4856" w:type="dxa"/>
            <w:shd w:val="clear" w:color="auto" w:fill="FFFFFF"/>
            <w:noWrap/>
            <w:tcMar>
              <w:top w:w="75" w:type="dxa"/>
              <w:left w:w="75" w:type="dxa"/>
              <w:bottom w:w="75" w:type="dxa"/>
              <w:right w:w="75" w:type="dxa"/>
            </w:tcMar>
            <w:vAlign w:val="center"/>
          </w:tcPr>
          <w:p w14:paraId="48BE18A6" w14:textId="77777777" w:rsidR="00896432" w:rsidRDefault="00A66798">
            <w:pPr>
              <w:spacing w:line="240" w:lineRule="auto"/>
              <w:jc w:val="center"/>
            </w:pPr>
            <w:r>
              <w:t>(vārds, uzvārds, paraksts**)</w:t>
            </w:r>
          </w:p>
        </w:tc>
        <w:tc>
          <w:tcPr>
            <w:tcW w:w="4856" w:type="dxa"/>
            <w:shd w:val="clear" w:color="auto" w:fill="FFFFFF"/>
            <w:noWrap/>
            <w:tcMar>
              <w:top w:w="75" w:type="dxa"/>
              <w:left w:w="75" w:type="dxa"/>
              <w:bottom w:w="75" w:type="dxa"/>
              <w:right w:w="75" w:type="dxa"/>
            </w:tcMar>
            <w:vAlign w:val="center"/>
          </w:tcPr>
          <w:p w14:paraId="3FC471D8" w14:textId="77777777" w:rsidR="00896432" w:rsidRDefault="00896432">
            <w:pPr>
              <w:spacing w:line="240" w:lineRule="auto"/>
            </w:pPr>
          </w:p>
        </w:tc>
      </w:tr>
    </w:tbl>
    <w:p w14:paraId="18D8D55D" w14:textId="77777777" w:rsidR="00896432" w:rsidRDefault="00896432"/>
    <w:p w14:paraId="517E1D96" w14:textId="77777777" w:rsidR="00896432" w:rsidRDefault="00A66798">
      <w:r>
        <w:t>Piezīmes.</w:t>
      </w:r>
    </w:p>
    <w:p w14:paraId="6E41E44C" w14:textId="77777777" w:rsidR="00896432" w:rsidRDefault="00A66798">
      <w:r>
        <w:t>* Iesniedzējs (fiziskai personai – vārds, uzvārds, juridiskai personai – nosaukums) var tikt publiskots, ja viņš tam ir piekritis. Ja attiecināms, iesniedzējs norāda interešu pārstāvja reģistrācijas numuru.</w:t>
      </w:r>
    </w:p>
    <w:p w14:paraId="70E02B85" w14:textId="77777777" w:rsidR="00896432" w:rsidRDefault="00A66798">
      <w:r>
        <w:t>** Dokumenta rekvizītus "datums" un "paraksts" neaizpilda, ja elektroniskais dokuments ir sagatavots atbilstoši normatīvajiem aktiem par elektronisko dokumentu noformēšanu.</w:t>
      </w:r>
    </w:p>
    <w:sectPr w:rsidR="00896432">
      <w:headerReference w:type="default" r:id="rId8"/>
      <w:footerReference w:type="default" r:id="rId9"/>
      <w:headerReference w:type="first" r:id="rId10"/>
      <w:footerReference w:type="first" r:id="rId11"/>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DE918" w14:textId="77777777" w:rsidR="00507032" w:rsidRDefault="00507032">
      <w:r>
        <w:separator/>
      </w:r>
    </w:p>
  </w:endnote>
  <w:endnote w:type="continuationSeparator" w:id="0">
    <w:p w14:paraId="37DCA4E9" w14:textId="77777777" w:rsidR="00507032" w:rsidRDefault="005070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5728F" w14:textId="77777777" w:rsidR="00896432" w:rsidRDefault="00A66798">
    <w:pPr>
      <w:jc w:val="right"/>
    </w:pPr>
    <w:r>
      <w:rPr>
        <w:sz w:val="24"/>
        <w:szCs w:val="24"/>
      </w:rPr>
      <w:fldChar w:fldCharType="begin"/>
    </w:r>
    <w:r>
      <w:rPr>
        <w:sz w:val="24"/>
        <w:szCs w:val="24"/>
      </w:rPr>
      <w:instrText>PAGE</w:instrText>
    </w:r>
    <w:r>
      <w:rPr>
        <w:sz w:val="24"/>
        <w:szCs w:val="24"/>
      </w:rPr>
      <w:fldChar w:fldCharType="separate"/>
    </w:r>
    <w:r w:rsidR="002979EC">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FAA74" w14:textId="77777777" w:rsidR="00A66798" w:rsidRDefault="00A66798">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DA5E1" w14:textId="77777777" w:rsidR="00507032" w:rsidRDefault="00507032">
      <w:r>
        <w:separator/>
      </w:r>
    </w:p>
  </w:footnote>
  <w:footnote w:type="continuationSeparator" w:id="0">
    <w:p w14:paraId="477D2B07" w14:textId="77777777" w:rsidR="00507032" w:rsidRDefault="005070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49C9D" w14:textId="77777777" w:rsidR="00896432" w:rsidRDefault="00A66798">
    <w:pPr>
      <w:pStyle w:val="Galvene"/>
      <w:contextualSpacing w:val="0"/>
    </w:pPr>
    <w:r>
      <w:t>Viedokļu pārskats 25-TA-2089</w:t>
    </w:r>
    <w:r>
      <w:br/>
      <w:t>Izdrukāts 08.11.2025. 12.29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C3DD9" w14:textId="77777777" w:rsidR="00896432" w:rsidRDefault="00A66798">
    <w:pPr>
      <w:pStyle w:val="Galvene"/>
      <w:contextualSpacing w:val="0"/>
    </w:pPr>
    <w:r>
      <w:t>Viedokļu pārskats 25-TA-2089</w:t>
    </w:r>
    <w:r>
      <w:br/>
      <w:t>Izdrukāts 08.11.2025. 12.29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432"/>
    <w:rsid w:val="0003225C"/>
    <w:rsid w:val="002118AE"/>
    <w:rsid w:val="002979EC"/>
    <w:rsid w:val="003501AF"/>
    <w:rsid w:val="00507032"/>
    <w:rsid w:val="005D7F3C"/>
    <w:rsid w:val="00670577"/>
    <w:rsid w:val="0067327D"/>
    <w:rsid w:val="006B3EAE"/>
    <w:rsid w:val="007673D8"/>
    <w:rsid w:val="0080294F"/>
    <w:rsid w:val="0080517E"/>
    <w:rsid w:val="00877492"/>
    <w:rsid w:val="00896432"/>
    <w:rsid w:val="0092636C"/>
    <w:rsid w:val="00A51C66"/>
    <w:rsid w:val="00A66798"/>
    <w:rsid w:val="00BC1EF8"/>
    <w:rsid w:val="0B31CD1D"/>
    <w:rsid w:val="0DFF90B5"/>
    <w:rsid w:val="164EA40F"/>
    <w:rsid w:val="36AC1F75"/>
    <w:rsid w:val="3D787264"/>
    <w:rsid w:val="3FCF2509"/>
    <w:rsid w:val="47FA7A15"/>
    <w:rsid w:val="56725B1C"/>
    <w:rsid w:val="59315B36"/>
    <w:rsid w:val="5951EA3F"/>
    <w:rsid w:val="6C4B2D34"/>
    <w:rsid w:val="7605AD2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6F599"/>
  <w15:docId w15:val="{2CDF5DD2-45BC-4805-B2D9-DDFAD1FAA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spacing w:after="120"/>
      <w:contextualSpacing/>
      <w:outlineLvl w:val="0"/>
    </w:pPr>
    <w:rPr>
      <w:rFonts w:ascii="Palatino" w:eastAsia="Palatino" w:hAnsi="Palatino" w:cs="Palatino"/>
      <w:sz w:val="36"/>
    </w:rPr>
  </w:style>
  <w:style w:type="paragraph" w:styleId="Virsraksts2">
    <w:name w:val="heading 2"/>
    <w:basedOn w:val="Parasts"/>
    <w:next w:val="Parasts"/>
    <w:uiPriority w:val="9"/>
    <w:semiHidden/>
    <w:unhideWhenUsed/>
    <w:qFormat/>
    <w:pPr>
      <w:spacing w:before="120" w:after="160"/>
      <w:contextualSpacing/>
      <w:outlineLvl w:val="1"/>
    </w:pPr>
    <w:rPr>
      <w:rFonts w:ascii="Arial" w:eastAsia="Arial" w:hAnsi="Arial" w:cs="Arial"/>
      <w:b/>
      <w:sz w:val="26"/>
    </w:rPr>
  </w:style>
  <w:style w:type="paragraph" w:styleId="Virsraksts3">
    <w:name w:val="heading 3"/>
    <w:basedOn w:val="Parasts"/>
    <w:next w:val="Parasts"/>
    <w:uiPriority w:val="9"/>
    <w:semiHidden/>
    <w:unhideWhenUsed/>
    <w:qFormat/>
    <w:pPr>
      <w:spacing w:before="120" w:after="160"/>
      <w:contextualSpacing/>
      <w:outlineLvl w:val="2"/>
    </w:pPr>
    <w:rPr>
      <w:rFonts w:ascii="Arial" w:eastAsia="Arial" w:hAnsi="Arial" w:cs="Arial"/>
      <w:b/>
      <w:i/>
      <w:color w:val="666666"/>
      <w:sz w:val="24"/>
    </w:rPr>
  </w:style>
  <w:style w:type="paragraph" w:styleId="Virsraksts4">
    <w:name w:val="heading 4"/>
    <w:basedOn w:val="Parasts"/>
    <w:next w:val="Parasts"/>
    <w:uiPriority w:val="9"/>
    <w:semiHidden/>
    <w:unhideWhenUsed/>
    <w:qFormat/>
    <w:pPr>
      <w:spacing w:before="120" w:after="120"/>
      <w:contextualSpacing/>
      <w:outlineLvl w:val="3"/>
    </w:pPr>
    <w:rPr>
      <w:rFonts w:ascii="Palatino" w:eastAsia="Palatino" w:hAnsi="Palatino" w:cs="Palatino"/>
      <w:b/>
      <w:sz w:val="24"/>
    </w:rPr>
  </w:style>
  <w:style w:type="paragraph" w:styleId="Virsraksts5">
    <w:name w:val="heading 5"/>
    <w:basedOn w:val="Parasts"/>
    <w:next w:val="Parasts"/>
    <w:uiPriority w:val="9"/>
    <w:semiHidden/>
    <w:unhideWhenUsed/>
    <w:qFormat/>
    <w:pPr>
      <w:spacing w:before="120" w:after="120"/>
      <w:contextualSpacing/>
      <w:outlineLvl w:val="4"/>
    </w:pPr>
    <w:rPr>
      <w:rFonts w:ascii="Arial" w:eastAsia="Arial" w:hAnsi="Arial" w:cs="Arial"/>
      <w:b/>
      <w:sz w:val="22"/>
    </w:rPr>
  </w:style>
  <w:style w:type="paragraph" w:styleId="Virsraksts6">
    <w:name w:val="heading 6"/>
    <w:basedOn w:val="Parasts"/>
    <w:next w:val="Parasts"/>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pPr>
      <w:spacing w:line="644" w:lineRule="auto"/>
    </w:pPr>
    <w:tblPr>
      <w:tblCellMar>
        <w:top w:w="0" w:type="dxa"/>
        <w:left w:w="0" w:type="dxa"/>
        <w:bottom w:w="0" w:type="dxa"/>
        <w:right w:w="0" w:type="dxa"/>
      </w:tblCellMar>
    </w:tblPr>
  </w:style>
  <w:style w:type="paragraph" w:styleId="Nosaukums">
    <w:name w:val="Title"/>
    <w:basedOn w:val="Parasts"/>
    <w:next w:val="Parasts"/>
    <w:uiPriority w:val="10"/>
    <w:qFormat/>
    <w:pPr>
      <w:contextualSpacing/>
    </w:pPr>
    <w:rPr>
      <w:rFonts w:ascii="Palatino" w:eastAsia="Palatino" w:hAnsi="Palatino" w:cs="Palatino"/>
      <w:sz w:val="60"/>
    </w:rPr>
  </w:style>
  <w:style w:type="paragraph" w:styleId="Apakvirsraksts">
    <w:name w:val="Subtitle"/>
    <w:basedOn w:val="Parasts"/>
    <w:next w:val="Parasts"/>
    <w:uiPriority w:val="11"/>
    <w:qFormat/>
    <w:pPr>
      <w:spacing w:before="60"/>
      <w:contextualSpacing/>
    </w:pPr>
    <w:rPr>
      <w:rFonts w:ascii="Arial" w:eastAsia="Arial" w:hAnsi="Arial" w:cs="Arial"/>
    </w:rPr>
  </w:style>
  <w:style w:type="paragraph" w:customStyle="1" w:styleId="paragraph">
    <w:name w:val="paragraph"/>
    <w:basedOn w:val="Parasts"/>
    <w:next w:val="Parasts"/>
    <w:pPr>
      <w:contextualSpacing/>
    </w:pPr>
  </w:style>
  <w:style w:type="paragraph" w:customStyle="1" w:styleId="paragraphheader">
    <w:name w:val="paragraph_header"/>
    <w:basedOn w:val="Parasts"/>
    <w:next w:val="Parasts"/>
    <w:pPr>
      <w:spacing w:before="280" w:after="280"/>
      <w:contextualSpacing/>
    </w:pPr>
  </w:style>
  <w:style w:type="paragraph" w:styleId="Galvene">
    <w:name w:val="header"/>
    <w:basedOn w:val="Parasts"/>
    <w:next w:val="Parasts"/>
    <w:pPr>
      <w:spacing w:after="280"/>
      <w:contextualSpacing/>
      <w:jc w:val="right"/>
    </w:pPr>
    <w:rPr>
      <w:sz w:val="24"/>
    </w:rPr>
  </w:style>
  <w:style w:type="paragraph" w:customStyle="1" w:styleId="signeddocumentparagraph">
    <w:name w:val="signed_document_paragraph"/>
    <w:basedOn w:val="Parasts"/>
    <w:next w:val="Parasts"/>
    <w:pPr>
      <w:contextualSpacing/>
      <w:jc w:val="right"/>
    </w:pPr>
    <w:rPr>
      <w:sz w:val="24"/>
    </w:rPr>
  </w:style>
  <w:style w:type="paragraph" w:customStyle="1" w:styleId="boldparagraphheader">
    <w:name w:val="bold_paragraph_header"/>
    <w:basedOn w:val="Parasts"/>
    <w:next w:val="Parasts"/>
    <w:pPr>
      <w:contextualSpacing/>
      <w:jc w:val="center"/>
    </w:pPr>
    <w:rPr>
      <w:b/>
    </w:rPr>
  </w:style>
  <w:style w:type="table" w:customStyle="1" w:styleId="a">
    <w:basedOn w:val="TableNormal"/>
    <w:tblPr>
      <w:tblStyleRowBandSize w:val="1"/>
      <w:tblStyleColBandSize w:val="1"/>
    </w:tblPr>
  </w:style>
  <w:style w:type="character" w:styleId="Komentraatsauce">
    <w:name w:val="annotation reference"/>
    <w:basedOn w:val="Noklusjumarindkopasfonts"/>
    <w:uiPriority w:val="99"/>
    <w:semiHidden/>
    <w:unhideWhenUsed/>
    <w:rsid w:val="00877492"/>
    <w:rPr>
      <w:sz w:val="16"/>
      <w:szCs w:val="16"/>
    </w:rPr>
  </w:style>
  <w:style w:type="paragraph" w:styleId="Komentrateksts">
    <w:name w:val="annotation text"/>
    <w:basedOn w:val="Parasts"/>
    <w:link w:val="KomentratekstsRakstz"/>
    <w:uiPriority w:val="99"/>
    <w:unhideWhenUsed/>
    <w:rsid w:val="00877492"/>
    <w:rPr>
      <w:sz w:val="20"/>
    </w:rPr>
  </w:style>
  <w:style w:type="character" w:customStyle="1" w:styleId="KomentratekstsRakstz">
    <w:name w:val="Komentāra teksts Rakstz."/>
    <w:basedOn w:val="Noklusjumarindkopasfonts"/>
    <w:link w:val="Komentrateksts"/>
    <w:uiPriority w:val="99"/>
    <w:rsid w:val="00877492"/>
    <w:rPr>
      <w:sz w:val="20"/>
    </w:rPr>
  </w:style>
  <w:style w:type="paragraph" w:styleId="Komentratma">
    <w:name w:val="annotation subject"/>
    <w:basedOn w:val="Komentrateksts"/>
    <w:next w:val="Komentrateksts"/>
    <w:link w:val="KomentratmaRakstz"/>
    <w:uiPriority w:val="99"/>
    <w:semiHidden/>
    <w:unhideWhenUsed/>
    <w:rsid w:val="00877492"/>
    <w:rPr>
      <w:b/>
      <w:bCs/>
    </w:rPr>
  </w:style>
  <w:style w:type="character" w:customStyle="1" w:styleId="KomentratmaRakstz">
    <w:name w:val="Komentāra tēma Rakstz."/>
    <w:basedOn w:val="KomentratekstsRakstz"/>
    <w:link w:val="Komentratma"/>
    <w:uiPriority w:val="99"/>
    <w:semiHidden/>
    <w:rsid w:val="00877492"/>
    <w:rPr>
      <w:b/>
      <w:bCs/>
      <w:sz w:val="20"/>
    </w:rPr>
  </w:style>
  <w:style w:type="character" w:styleId="Hipersaite">
    <w:name w:val="Hyperlink"/>
    <w:basedOn w:val="Noklusjumarindkopasfonts"/>
    <w:uiPriority w:val="99"/>
    <w:unhideWhenUsed/>
    <w:rsid w:val="0003225C"/>
    <w:rPr>
      <w:color w:val="467886" w:themeColor="hyperlink"/>
      <w:u w:val="single"/>
    </w:rPr>
  </w:style>
  <w:style w:type="character" w:styleId="Neatrisintapieminana">
    <w:name w:val="Unresolved Mention"/>
    <w:basedOn w:val="Noklusjumarindkopasfonts"/>
    <w:uiPriority w:val="99"/>
    <w:semiHidden/>
    <w:unhideWhenUsed/>
    <w:rsid w:val="0003225C"/>
    <w:rPr>
      <w:color w:val="605E5C"/>
      <w:shd w:val="clear" w:color="auto" w:fill="E1DFDD"/>
    </w:rPr>
  </w:style>
  <w:style w:type="character" w:styleId="Izmantotahipersaite">
    <w:name w:val="FollowedHyperlink"/>
    <w:basedOn w:val="Noklusjumarindkopasfonts"/>
    <w:uiPriority w:val="99"/>
    <w:semiHidden/>
    <w:unhideWhenUsed/>
    <w:rsid w:val="0003225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tapportals.mk.gov.lv/legal_acts/8a72aed8-b9c7-4f8b-9a08-ca32f5a906eb"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ur-lex.europa.eu/eli/dir/2024/1069/oj/?locale=LV"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11</Pages>
  <Words>7315</Words>
  <Characters>4170</Characters>
  <Application>Microsoft Office Word</Application>
  <DocSecurity>0</DocSecurity>
  <Lines>34</Lines>
  <Paragraphs>22</Paragraphs>
  <ScaleCrop>false</ScaleCrop>
  <HeadingPairs>
    <vt:vector size="2" baseType="variant">
      <vt:variant>
        <vt:lpstr>Nosaukums</vt:lpstr>
      </vt:variant>
      <vt:variant>
        <vt:i4>1</vt:i4>
      </vt:variant>
    </vt:vector>
  </HeadingPairs>
  <TitlesOfParts>
    <vt:vector size="1" baseType="lpstr">
      <vt:lpstr>viedoklu_parskats_25-TA-2089.docx</vt:lpstr>
    </vt:vector>
  </TitlesOfParts>
  <Company/>
  <LinksUpToDate>false</LinksUpToDate>
  <CharactersWithSpaces>11463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viedoklu_parskats_25-TA-2089.docx</dc:title>
  <dc:creator>Linda Vaļte</dc:creator>
  <cp:lastModifiedBy>Linda Vaļte</cp:lastModifiedBy>
  <cp:revision>9</cp:revision>
  <dcterms:created xsi:type="dcterms:W3CDTF">2025-11-08T11:23:00Z</dcterms:created>
  <dcterms:modified xsi:type="dcterms:W3CDTF">2025-11-12T10:20:00Z</dcterms:modified>
</cp:coreProperties>
</file>