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19A35D9" w14:textId="77777777" w:rsidR="00F357BE" w:rsidRDefault="00644374">
      <w:pPr>
        <w:spacing w:after="240"/>
        <w:jc w:val="center"/>
        <w:rPr>
          <w:b/>
        </w:rPr>
      </w:pPr>
      <w:r>
        <w:rPr>
          <w:b/>
        </w:rPr>
        <w:t>“Publiskās apspriešanas laikā 09.06.2025. - 23.06.2025. saņemto viedokļu, priekšlikumu un iebildumu apkopojums par Grozījumi Grāmatvedības likumā”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F357BE" w14:paraId="3AB63C8C" w14:textId="77777777">
        <w:tc>
          <w:tcPr>
            <w:tcW w:w="750" w:type="dxa"/>
            <w:shd w:val="clear" w:color="auto" w:fill="FFFFFF"/>
            <w:noWrap/>
            <w:tcMar>
              <w:top w:w="75" w:type="dxa"/>
              <w:left w:w="75" w:type="dxa"/>
              <w:bottom w:w="75" w:type="dxa"/>
              <w:right w:w="75" w:type="dxa"/>
            </w:tcMar>
            <w:vAlign w:val="center"/>
          </w:tcPr>
          <w:p w14:paraId="34109927" w14:textId="77777777" w:rsidR="00F357BE" w:rsidRDefault="00644374">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7BD04667" w14:textId="77777777" w:rsidR="00F357BE" w:rsidRDefault="00644374">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0029EA70" w14:textId="77777777" w:rsidR="00F357BE" w:rsidRDefault="00644374">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63137878" w14:textId="77777777" w:rsidR="00F357BE" w:rsidRDefault="00644374">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7D016CC2" w14:textId="77777777" w:rsidR="00F357BE" w:rsidRDefault="00644374">
            <w:pPr>
              <w:jc w:val="center"/>
            </w:pPr>
            <w:r>
              <w:rPr>
                <w:b/>
              </w:rPr>
              <w:t>Skaidrojums, kādā veidā viedoklis / priekšlikums / iebildums ir ņemts vērā vai ņemts vērā daļēji, vai pamatojums, ja viedoklis / priekšlikums / iebildums nav ņemts vērā</w:t>
            </w:r>
          </w:p>
        </w:tc>
      </w:tr>
      <w:tr w:rsidR="00F357BE" w14:paraId="7EBCB4C3" w14:textId="77777777">
        <w:tc>
          <w:tcPr>
            <w:tcW w:w="750" w:type="dxa"/>
            <w:shd w:val="clear" w:color="auto" w:fill="FFFFFF"/>
            <w:noWrap/>
            <w:tcMar>
              <w:top w:w="75" w:type="dxa"/>
              <w:left w:w="75" w:type="dxa"/>
              <w:bottom w:w="75" w:type="dxa"/>
              <w:right w:w="75" w:type="dxa"/>
            </w:tcMar>
            <w:vAlign w:val="center"/>
          </w:tcPr>
          <w:p w14:paraId="7C3D9A40" w14:textId="77777777" w:rsidR="00F357BE" w:rsidRDefault="00644374">
            <w:pPr>
              <w:jc w:val="center"/>
            </w:pPr>
            <w:r>
              <w:t>1.</w:t>
            </w:r>
          </w:p>
        </w:tc>
        <w:tc>
          <w:tcPr>
            <w:tcW w:w="4055" w:type="dxa"/>
            <w:shd w:val="clear" w:color="auto" w:fill="FFFFFF"/>
            <w:noWrap/>
            <w:tcMar>
              <w:top w:w="75" w:type="dxa"/>
              <w:left w:w="75" w:type="dxa"/>
              <w:bottom w:w="75" w:type="dxa"/>
              <w:right w:w="75" w:type="dxa"/>
            </w:tcMar>
            <w:vAlign w:val="center"/>
          </w:tcPr>
          <w:p w14:paraId="62538FD2" w14:textId="77777777" w:rsidR="00F357BE" w:rsidRDefault="00644374">
            <w:pPr>
              <w:jc w:val="left"/>
            </w:pPr>
            <w:r>
              <w:t>Biedrība "Latvijas Republikas ārpakalpojuma grāmatvežu asociācija"</w:t>
            </w:r>
          </w:p>
        </w:tc>
        <w:tc>
          <w:tcPr>
            <w:tcW w:w="4056" w:type="dxa"/>
            <w:shd w:val="clear" w:color="auto" w:fill="FFFFFF"/>
            <w:noWrap/>
            <w:tcMar>
              <w:top w:w="75" w:type="dxa"/>
              <w:left w:w="75" w:type="dxa"/>
              <w:bottom w:w="75" w:type="dxa"/>
              <w:right w:w="75" w:type="dxa"/>
            </w:tcMar>
            <w:vAlign w:val="center"/>
          </w:tcPr>
          <w:p w14:paraId="3AC14DD2" w14:textId="1757910D" w:rsidR="00F357BE" w:rsidRDefault="00644374">
            <w:pPr>
              <w:jc w:val="left"/>
            </w:pPr>
            <w:r>
              <w:t xml:space="preserve">LRĀGA pilnībā </w:t>
            </w:r>
            <w:r>
              <w:rPr>
                <w:b/>
              </w:rPr>
              <w:t xml:space="preserve">atbalsta </w:t>
            </w:r>
            <w:r>
              <w:t xml:space="preserve">izstrādāto likumprojektu “Grozījumi Grāmatvedības likumā” </w:t>
            </w:r>
            <w:r>
              <w:rPr>
                <w:b/>
              </w:rPr>
              <w:t>ar vienu iebildumu</w:t>
            </w:r>
            <w:r>
              <w:t>. Proti, ja minētais likums ir atvērts grozījumiem, LRĀGA joprojām uztur spēkā priekšlikumu par grozījumu veikšanu likumā saistībā ar e-rēķiniem.</w:t>
            </w:r>
            <w:r>
              <w:br/>
            </w:r>
            <w:r>
              <w:br/>
              <w:t>Jau iepriekšējo grozījumu sakarā LRĀGA iesniedza konkrētus priekšlikumus, kuri diemžēl netika izskatīti un netika arī pausti pamatoti argumenti priekšlikumu noraidīšanai.</w:t>
            </w:r>
            <w:r>
              <w:br/>
            </w:r>
            <w:r>
              <w:br/>
            </w:r>
            <w:r>
              <w:lastRenderedPageBreak/>
              <w:t>Gan LRĀGA biedri, gan arī aptaujātie nozares pro</w:t>
            </w:r>
            <w:r w:rsidR="00374680">
              <w:t>f</w:t>
            </w:r>
            <w:r>
              <w:t>esionāļi uzskata, ka e-rēķinu sagatavošanas pienākuma uzlikšana visiem Grāmatvedības likuma subjektiem bez izņēmuma viennozīmīgi ir administratīvā sloga un vienlaicīgi arī administratīvo izdevumu palielināšana nevalstiskajām organizācijām, saimnieciskās darbības veicējiem un arī mazajiem komersantiem. Vēl jo vairāk, ka likumdošanas iniciators nav spējis izskaidrot ieguvumus šajā sakarā. Arī minēto e-rēķinu uzkrāšana un administrēšana Valsts ieņēmumu dienestā radīs papildus valsts budžeta izdevumus, šīs darbības finansējot.</w:t>
            </w:r>
            <w:r>
              <w:br/>
            </w:r>
            <w:r>
              <w:br/>
              <w:t xml:space="preserve">Valsts ieņēmumu dienesta paustais skaidrojums, ka e-rēķinu ieviešana samazinās administratīvo slogu nodokļu maksātājiem, ka, piemēram, Valsts ieņēmumu dienests turpmāk bez nodokļu maksātāja </w:t>
            </w:r>
            <w:r>
              <w:lastRenderedPageBreak/>
              <w:t xml:space="preserve">līdzdalības varēs aprēķināt valsts budžetā maksājamo pievienotās vērtības nodokli, neiztur kritiku. Tikai ar e-rēķinu novirzīšanu uz Valsts ieņēmumu dienestu šāds mērķis nav sasniedzams. Tāpat nav saprotama Valsts ieņēmumu dienesta prasība savā datu bāzē saņemt un uzkrāt </w:t>
            </w:r>
            <w:proofErr w:type="spellStart"/>
            <w:r>
              <w:t>mega</w:t>
            </w:r>
            <w:proofErr w:type="spellEnd"/>
            <w:r>
              <w:t xml:space="preserve">-lielu datu apjomu. Vēl jo vairāk, ka ievērojams apjoms saimniecisko darījumu  vienalga paliks ārpus šīs datu bāzes. VID nesaņems informāciju par absolūti visiem nodokļu maksātāju darījumiem, jo attaisnojuma dokumenti ir arī EKA čeki mazumtirdzniecībā un apkalpojošā sfērā, kvītis, bezskaidras naudas </w:t>
            </w:r>
            <w:proofErr w:type="spellStart"/>
            <w:r>
              <w:t>pārskaitījumi</w:t>
            </w:r>
            <w:proofErr w:type="spellEnd"/>
            <w:r>
              <w:t xml:space="preserve"> (avansa rēķinu apmaksa), kases orderi un citi dokumenti. Paliek neatbildēts jautājums – kāds ir šī jaunieveduma mērķis, ja pilnvērtīga kontrole tāpat nav iespējama.</w:t>
            </w:r>
            <w:r>
              <w:br/>
            </w:r>
            <w:r>
              <w:br/>
              <w:t xml:space="preserve">Spēkā esošie normatīvie akti jau pašlaik dod tiesības nodokļu </w:t>
            </w:r>
            <w:r>
              <w:lastRenderedPageBreak/>
              <w:t>administrācijai (VID) nodokļu aprēķināšanas un attiecīgas kontroles nolūkā no nodokļu maksātāja saņemt un iepazīties ar jebkuru grāmatvedības reģistros iekļauto attaisnojuma dokumentu. Kā jau minēts, šāds normatīvā akta regulējums ievērojami palielinās slodzi nodokļu administrācijai, kā arī šī mērķa īstenošanai būs nepieciešams atvēlēt ievērojamus valsts budžeta līdzekļus. Tā vietā, lai birokrātiju samazinātu, valsts mērogā tiek plānotas arvien jaunas birokrātiskas procedūras, kuras ne tikai palielina un arī sadārdzina administratīvo slogu nodokļu maksātājiem (</w:t>
            </w:r>
            <w:proofErr w:type="spellStart"/>
            <w:r>
              <w:t>pašnodarbinātām</w:t>
            </w:r>
            <w:proofErr w:type="spellEnd"/>
            <w:r>
              <w:t xml:space="preserve"> personām, nevalstiskajām organizācijām, komersantiem, arī no valsts budžeta finansētām institūcijām un pašvaldībām), bet arī, mūsuprāt, nevajadzīgi palielina valsts budžeta izdevumus, kurus sedz nodokļu maksātāji.</w:t>
            </w:r>
            <w:r>
              <w:br/>
            </w:r>
            <w:r>
              <w:br/>
            </w:r>
            <w:r>
              <w:lastRenderedPageBreak/>
              <w:t>Uzskatām, ka tas “mazos” uzņēmējus nostādīs nevienlīdzīgā situācijā un faktiski kropļos konkurenci. Tāpēc iesakām no minētā pienākuma atbrīvot saimnieciskās darbības veicējus, individuālos uzņēmumus un individuālos komersantus, zemnieku un zvejnieku saimniecības, nevalstiskās organizācijas (biedrības, nodibinājumi, arodbiedrības, reliģiskās organizācijas) un noteikt komersantu gradāciju, e-rēķina obligātās prasības neattiecināt uz šo nodokļu maksātāju segmentu.</w:t>
            </w:r>
            <w:r>
              <w:br/>
            </w:r>
            <w:r>
              <w:br/>
              <w:t>LRĀGA papildus priekšlikums likumprojektam:</w:t>
            </w:r>
            <w:r>
              <w:br/>
            </w:r>
            <w:r>
              <w:br/>
              <w:t>Priekšlikums – papildināt:</w:t>
            </w:r>
            <w:r>
              <w:br/>
            </w:r>
            <w:r>
              <w:br/>
              <w:t>11.pants</w:t>
            </w:r>
            <w:r>
              <w:br/>
            </w:r>
            <w:r>
              <w:rPr>
                <w:b/>
              </w:rPr>
              <w:t xml:space="preserve">(16) Atkāpties no šā panta četrpadsmitajā daļā noteiktās prasības par strukturētu elektronisko rēķinu </w:t>
            </w:r>
            <w:r>
              <w:rPr>
                <w:b/>
              </w:rPr>
              <w:lastRenderedPageBreak/>
              <w:t xml:space="preserve">noformēšanu var:...4) komersanti, kuri Gada pārskatu un konsolidēto gada pārskatu likumā klasificēti kā </w:t>
            </w:r>
            <w:proofErr w:type="spellStart"/>
            <w:r>
              <w:rPr>
                <w:b/>
              </w:rPr>
              <w:t>mikrosabiedrības</w:t>
            </w:r>
            <w:proofErr w:type="spellEnd"/>
            <w:r>
              <w:rPr>
                <w:b/>
              </w:rPr>
              <w:t xml:space="preserve">, kā arī saimnieciskās darbības veicēji, individuālie uzņēmumi un individuālie komersanti, zemnieku un zvejnieku saimniecības, nevalstiskās organizācijas (biedrības, nodibinājumi, arodbiedrības, reliģiskās organizācijas un </w:t>
            </w:r>
            <w:proofErr w:type="spellStart"/>
            <w:r>
              <w:rPr>
                <w:b/>
              </w:rPr>
              <w:t>tml</w:t>
            </w:r>
            <w:proofErr w:type="spellEnd"/>
            <w:r>
              <w:rPr>
                <w:b/>
              </w:rPr>
              <w:t>).</w:t>
            </w:r>
            <w:r>
              <w:br/>
            </w:r>
            <w:r>
              <w:br/>
            </w:r>
            <w:r>
              <w:br/>
              <w:t xml:space="preserve">LRĀGA Valdes priekšsēdētājs                                                      </w:t>
            </w:r>
            <w:proofErr w:type="spellStart"/>
            <w:r>
              <w:t>A.Droiskis</w:t>
            </w:r>
            <w:proofErr w:type="spellEnd"/>
            <w:r>
              <w:br/>
            </w:r>
            <w:r>
              <w:br/>
            </w:r>
          </w:p>
        </w:tc>
        <w:tc>
          <w:tcPr>
            <w:tcW w:w="1650" w:type="dxa"/>
            <w:shd w:val="clear" w:color="auto" w:fill="FFFFFF"/>
            <w:noWrap/>
            <w:tcMar>
              <w:top w:w="75" w:type="dxa"/>
              <w:left w:w="75" w:type="dxa"/>
              <w:bottom w:w="75" w:type="dxa"/>
              <w:right w:w="75" w:type="dxa"/>
            </w:tcMar>
            <w:vAlign w:val="center"/>
          </w:tcPr>
          <w:p w14:paraId="24D345A9" w14:textId="245DFBAF" w:rsidR="00F357BE" w:rsidRDefault="00B937C1">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D59BBAA" w14:textId="77777777" w:rsidR="000B0ECA" w:rsidRPr="0075112F" w:rsidRDefault="000B0ECA" w:rsidP="000B0ECA">
            <w:pPr>
              <w:rPr>
                <w:szCs w:val="28"/>
              </w:rPr>
            </w:pPr>
            <w:r w:rsidRPr="0008461B">
              <w:rPr>
                <w:b/>
                <w:bCs/>
              </w:rPr>
              <w:t>Priekšlikums</w:t>
            </w:r>
            <w:r>
              <w:t xml:space="preserve"> no strukturēto elektronisko rēķinu (e-rēķinu) noformēšanas pienākuma atbrīvot  saimnieciskās darbības veicējus, individuālos uzņēmumus un individuālos komersantus, zemnieku un zvejnieku saimniecības, nevalstiskās organizācijas (biedrības, nodibinājumi, arodbiedrības, reliģiskās organizācijas) un noteikt komersantu gradāciju, uz kuriem attiecināma prasība par e-rēķinu noformēšanu, </w:t>
            </w:r>
            <w:r w:rsidRPr="0008461B">
              <w:rPr>
                <w:b/>
                <w:bCs/>
              </w:rPr>
              <w:t>nav saistīts ar likumprojekta saturu.</w:t>
            </w:r>
          </w:p>
          <w:p w14:paraId="2D1EB02F" w14:textId="77777777" w:rsidR="000B0ECA" w:rsidRDefault="000B0ECA" w:rsidP="00D05450">
            <w:pPr>
              <w:jc w:val="left"/>
              <w:rPr>
                <w:szCs w:val="28"/>
              </w:rPr>
            </w:pPr>
          </w:p>
          <w:p w14:paraId="2ADF62D8" w14:textId="4B198561" w:rsidR="00D05450" w:rsidRDefault="00864C1B" w:rsidP="00D05450">
            <w:pPr>
              <w:jc w:val="left"/>
              <w:rPr>
                <w:szCs w:val="28"/>
              </w:rPr>
            </w:pPr>
            <w:r w:rsidRPr="0075112F">
              <w:rPr>
                <w:szCs w:val="28"/>
              </w:rPr>
              <w:lastRenderedPageBreak/>
              <w:t xml:space="preserve">Ministru kabineta </w:t>
            </w:r>
            <w:r w:rsidR="00F211D5" w:rsidRPr="0075112F">
              <w:rPr>
                <w:szCs w:val="28"/>
              </w:rPr>
              <w:t>2024.gada 15.oktobra noteikumu Nr</w:t>
            </w:r>
            <w:r w:rsidR="00C31DE8" w:rsidRPr="0075112F">
              <w:rPr>
                <w:szCs w:val="28"/>
              </w:rPr>
              <w:t>.639 “</w:t>
            </w:r>
            <w:r w:rsidR="00A34156" w:rsidRPr="0075112F">
              <w:rPr>
                <w:szCs w:val="28"/>
              </w:rPr>
              <w:t xml:space="preserve">Sabiedrības līdzdalības kārtība attīstības plānošanas procesā” </w:t>
            </w:r>
            <w:r w:rsidR="00D05450" w:rsidRPr="0075112F">
              <w:rPr>
                <w:szCs w:val="28"/>
              </w:rPr>
              <w:t>20.4.</w:t>
            </w:r>
            <w:r w:rsidR="00617D43" w:rsidRPr="0075112F">
              <w:rPr>
                <w:szCs w:val="28"/>
              </w:rPr>
              <w:t>apakšpunktā noteikt</w:t>
            </w:r>
            <w:r w:rsidR="00112B08" w:rsidRPr="0075112F">
              <w:rPr>
                <w:szCs w:val="28"/>
              </w:rPr>
              <w:t>s, ka</w:t>
            </w:r>
            <w:r w:rsidR="00617D43" w:rsidRPr="0075112F">
              <w:rPr>
                <w:szCs w:val="28"/>
              </w:rPr>
              <w:t xml:space="preserve"> i</w:t>
            </w:r>
            <w:r w:rsidR="00D05450" w:rsidRPr="0075112F">
              <w:rPr>
                <w:szCs w:val="28"/>
              </w:rPr>
              <w:t>nstitūcijai ir tiesības neizskatīt saņemto viedokli, priekšlikumu vai iebildumu, ja tas</w:t>
            </w:r>
            <w:r w:rsidR="00617D43" w:rsidRPr="0075112F">
              <w:rPr>
                <w:szCs w:val="28"/>
              </w:rPr>
              <w:t xml:space="preserve"> </w:t>
            </w:r>
            <w:r w:rsidR="00D05450" w:rsidRPr="0075112F">
              <w:rPr>
                <w:szCs w:val="28"/>
              </w:rPr>
              <w:t>nav saistīts ar projekta saturu.</w:t>
            </w:r>
          </w:p>
          <w:p w14:paraId="3A5D9A66" w14:textId="77777777" w:rsidR="00E2383D" w:rsidRPr="0075112F" w:rsidRDefault="00E2383D" w:rsidP="00D05450">
            <w:pPr>
              <w:jc w:val="left"/>
              <w:rPr>
                <w:szCs w:val="28"/>
              </w:rPr>
            </w:pPr>
          </w:p>
          <w:p w14:paraId="7D38AAEE" w14:textId="1D678126" w:rsidR="00B87489" w:rsidRDefault="00893A2B" w:rsidP="00B87489">
            <w:pPr>
              <w:rPr>
                <w:szCs w:val="28"/>
              </w:rPr>
            </w:pPr>
            <w:r w:rsidRPr="0075112F">
              <w:rPr>
                <w:szCs w:val="28"/>
              </w:rPr>
              <w:t>Likumprojekt</w:t>
            </w:r>
            <w:r w:rsidR="00CD70F6" w:rsidRPr="0075112F">
              <w:rPr>
                <w:szCs w:val="28"/>
              </w:rPr>
              <w:t>s</w:t>
            </w:r>
            <w:r w:rsidRPr="0075112F">
              <w:rPr>
                <w:szCs w:val="28"/>
              </w:rPr>
              <w:t xml:space="preserve"> </w:t>
            </w:r>
            <w:r w:rsidR="007D4DDC" w:rsidRPr="0075112F">
              <w:rPr>
                <w:szCs w:val="28"/>
              </w:rPr>
              <w:t>izs</w:t>
            </w:r>
            <w:r w:rsidR="001C175C" w:rsidRPr="0075112F">
              <w:rPr>
                <w:szCs w:val="28"/>
              </w:rPr>
              <w:t>trādāts, lai</w:t>
            </w:r>
            <w:r w:rsidR="00B87489" w:rsidRPr="0075112F">
              <w:rPr>
                <w:szCs w:val="28"/>
              </w:rPr>
              <w:t xml:space="preserve"> Latvijā </w:t>
            </w:r>
            <w:r w:rsidR="000F6496" w:rsidRPr="0075112F">
              <w:rPr>
                <w:szCs w:val="28"/>
              </w:rPr>
              <w:t>p</w:t>
            </w:r>
            <w:r w:rsidR="00D0691E" w:rsidRPr="0075112F">
              <w:rPr>
                <w:szCs w:val="28"/>
              </w:rPr>
              <w:t>ārņemtu</w:t>
            </w:r>
            <w:r w:rsidR="00AD3EA2" w:rsidRPr="0075112F">
              <w:rPr>
                <w:szCs w:val="28"/>
              </w:rPr>
              <w:t xml:space="preserve"> un publicētu</w:t>
            </w:r>
            <w:r w:rsidR="00D20760" w:rsidRPr="0075112F">
              <w:rPr>
                <w:szCs w:val="28"/>
              </w:rPr>
              <w:t xml:space="preserve"> </w:t>
            </w:r>
            <w:r w:rsidR="00DE7AC4" w:rsidRPr="0075112F">
              <w:rPr>
                <w:szCs w:val="28"/>
              </w:rPr>
              <w:t>Eiropas Parlamenta un Padomes 2023.gada 13.decembra Direktīv</w:t>
            </w:r>
            <w:r w:rsidR="00D20760" w:rsidRPr="0075112F">
              <w:rPr>
                <w:szCs w:val="28"/>
              </w:rPr>
              <w:t>as</w:t>
            </w:r>
            <w:r w:rsidR="00DE7AC4" w:rsidRPr="0075112F">
              <w:rPr>
                <w:szCs w:val="28"/>
              </w:rPr>
              <w:t xml:space="preserve"> (ES) 2023/2864</w:t>
            </w:r>
            <w:r w:rsidR="00AD3EA2" w:rsidRPr="0075112F">
              <w:rPr>
                <w:szCs w:val="28"/>
              </w:rPr>
              <w:t xml:space="preserve"> </w:t>
            </w:r>
            <w:r w:rsidR="009420F4" w:rsidRPr="0075112F">
              <w:rPr>
                <w:szCs w:val="28"/>
              </w:rPr>
              <w:t>normas</w:t>
            </w:r>
            <w:r w:rsidR="00DE7AC4" w:rsidRPr="0075112F">
              <w:rPr>
                <w:szCs w:val="28"/>
              </w:rPr>
              <w:t>, ar ko attiecībā uz Eiropas vienotā piekļuves punkta izveidi un darbību groza konkrētas direktīvas</w:t>
            </w:r>
            <w:r w:rsidR="0003786C">
              <w:rPr>
                <w:szCs w:val="28"/>
              </w:rPr>
              <w:t>, kā arī, lai</w:t>
            </w:r>
            <w:r w:rsidR="00AA1044" w:rsidRPr="0075112F">
              <w:rPr>
                <w:szCs w:val="28"/>
              </w:rPr>
              <w:t xml:space="preserve"> </w:t>
            </w:r>
            <w:r w:rsidR="00AA1044" w:rsidRPr="0075112F">
              <w:rPr>
                <w:szCs w:val="28"/>
                <w:shd w:val="clear" w:color="auto" w:fill="FFFFFF"/>
              </w:rPr>
              <w:t>precizēt</w:t>
            </w:r>
            <w:r w:rsidR="00FE290F" w:rsidRPr="0075112F">
              <w:rPr>
                <w:szCs w:val="28"/>
                <w:shd w:val="clear" w:color="auto" w:fill="FFFFFF"/>
              </w:rPr>
              <w:t>u</w:t>
            </w:r>
            <w:r w:rsidR="00AA1044" w:rsidRPr="0075112F">
              <w:rPr>
                <w:szCs w:val="28"/>
                <w:shd w:val="clear" w:color="auto" w:fill="FFFFFF"/>
              </w:rPr>
              <w:t xml:space="preserve"> Grāmatvedības likuma subjekta loku, iekļaujot tajā dzīvokļu īpašnieku kopību, kas veic saimniecisko darbību, kā arī nepārprotami nosakot, ka arī citas publiskas personas ir šī likuma subjekti (kā tas bija līdz pēdējiem šī likuma grozījumiem).</w:t>
            </w:r>
            <w:r w:rsidR="008C4E25" w:rsidRPr="0075112F">
              <w:rPr>
                <w:szCs w:val="28"/>
              </w:rPr>
              <w:t xml:space="preserve"> </w:t>
            </w:r>
          </w:p>
          <w:p w14:paraId="64D0512F" w14:textId="77777777" w:rsidR="008132C1" w:rsidRDefault="008132C1" w:rsidP="00B87489">
            <w:pPr>
              <w:rPr>
                <w:szCs w:val="28"/>
              </w:rPr>
            </w:pPr>
          </w:p>
          <w:p w14:paraId="53DBDADC" w14:textId="02026014" w:rsidR="00DE7AC4" w:rsidRPr="0075112F" w:rsidRDefault="00DE7AC4" w:rsidP="00DE7AC4">
            <w:pPr>
              <w:rPr>
                <w:szCs w:val="28"/>
              </w:rPr>
            </w:pPr>
          </w:p>
          <w:p w14:paraId="586D1412" w14:textId="34680197" w:rsidR="004A7825" w:rsidRPr="0075112F" w:rsidRDefault="00893A2B" w:rsidP="00D05450">
            <w:pPr>
              <w:jc w:val="left"/>
              <w:rPr>
                <w:szCs w:val="28"/>
              </w:rPr>
            </w:pPr>
            <w:r w:rsidRPr="0075112F">
              <w:rPr>
                <w:szCs w:val="28"/>
              </w:rPr>
              <w:lastRenderedPageBreak/>
              <w:t xml:space="preserve"> </w:t>
            </w:r>
          </w:p>
          <w:p w14:paraId="58242C1A" w14:textId="56DFC891" w:rsidR="00F357BE" w:rsidRPr="0075112F" w:rsidRDefault="00F357BE">
            <w:pPr>
              <w:jc w:val="left"/>
              <w:rPr>
                <w:szCs w:val="28"/>
              </w:rPr>
            </w:pPr>
          </w:p>
        </w:tc>
      </w:tr>
    </w:tbl>
    <w:p w14:paraId="286F9C72" w14:textId="77777777" w:rsidR="00F357BE" w:rsidRDefault="00F357BE"/>
    <w:tbl>
      <w:tblPr>
        <w:tblStyle w:val="a"/>
        <w:tblW w:w="14567" w:type="dxa"/>
        <w:tblLayout w:type="fixed"/>
        <w:tblLook w:val="0600" w:firstRow="0" w:lastRow="0" w:firstColumn="0" w:lastColumn="0" w:noHBand="1" w:noVBand="1"/>
      </w:tblPr>
      <w:tblGrid>
        <w:gridCol w:w="4855"/>
        <w:gridCol w:w="4856"/>
        <w:gridCol w:w="4856"/>
      </w:tblGrid>
      <w:tr w:rsidR="00F357BE" w14:paraId="08C88702" w14:textId="77777777">
        <w:tc>
          <w:tcPr>
            <w:tcW w:w="4855" w:type="dxa"/>
            <w:shd w:val="clear" w:color="auto" w:fill="FFFFFF"/>
            <w:noWrap/>
            <w:tcMar>
              <w:top w:w="75" w:type="dxa"/>
              <w:left w:w="75" w:type="dxa"/>
              <w:bottom w:w="75" w:type="dxa"/>
              <w:right w:w="75" w:type="dxa"/>
            </w:tcMar>
            <w:vAlign w:val="center"/>
          </w:tcPr>
          <w:p w14:paraId="5CD181C7" w14:textId="77777777" w:rsidR="00F357BE" w:rsidRDefault="00644374">
            <w:pPr>
              <w:jc w:val="left"/>
            </w:pPr>
            <w:r>
              <w:t>Datums**</w:t>
            </w:r>
          </w:p>
        </w:tc>
        <w:tc>
          <w:tcPr>
            <w:tcW w:w="4856" w:type="dxa"/>
            <w:shd w:val="clear" w:color="auto" w:fill="FFFFFF"/>
            <w:noWrap/>
            <w:tcMar>
              <w:top w:w="75" w:type="dxa"/>
              <w:left w:w="75" w:type="dxa"/>
              <w:bottom w:w="75" w:type="dxa"/>
              <w:right w:w="75" w:type="dxa"/>
            </w:tcMar>
            <w:vAlign w:val="center"/>
          </w:tcPr>
          <w:p w14:paraId="6C6C8A41" w14:textId="77777777" w:rsidR="00F357BE" w:rsidRDefault="00F357BE">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1B00CD16" w14:textId="77777777" w:rsidR="00F357BE" w:rsidRDefault="00F357BE"/>
        </w:tc>
      </w:tr>
      <w:tr w:rsidR="00F357BE" w14:paraId="055A2641" w14:textId="77777777">
        <w:tc>
          <w:tcPr>
            <w:tcW w:w="4855" w:type="dxa"/>
            <w:shd w:val="clear" w:color="auto" w:fill="FFFFFF"/>
            <w:noWrap/>
            <w:tcMar>
              <w:top w:w="75" w:type="dxa"/>
              <w:left w:w="75" w:type="dxa"/>
              <w:bottom w:w="75" w:type="dxa"/>
              <w:right w:w="75" w:type="dxa"/>
            </w:tcMar>
            <w:vAlign w:val="center"/>
          </w:tcPr>
          <w:p w14:paraId="0FF00C2E" w14:textId="77777777" w:rsidR="00F357BE" w:rsidRDefault="00F357BE"/>
        </w:tc>
        <w:tc>
          <w:tcPr>
            <w:tcW w:w="4856" w:type="dxa"/>
            <w:shd w:val="clear" w:color="auto" w:fill="FFFFFF"/>
            <w:noWrap/>
            <w:tcMar>
              <w:top w:w="75" w:type="dxa"/>
              <w:left w:w="75" w:type="dxa"/>
              <w:bottom w:w="75" w:type="dxa"/>
              <w:right w:w="75" w:type="dxa"/>
            </w:tcMar>
            <w:vAlign w:val="center"/>
          </w:tcPr>
          <w:p w14:paraId="070FF9E3" w14:textId="77777777" w:rsidR="00F357BE" w:rsidRDefault="00644374">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0AF21D49" w14:textId="77777777" w:rsidR="00F357BE" w:rsidRDefault="00F357BE"/>
        </w:tc>
      </w:tr>
      <w:tr w:rsidR="00F357BE" w14:paraId="79E4CC8A" w14:textId="77777777">
        <w:tc>
          <w:tcPr>
            <w:tcW w:w="4855" w:type="dxa"/>
            <w:shd w:val="clear" w:color="auto" w:fill="FFFFFF"/>
            <w:noWrap/>
            <w:tcMar>
              <w:top w:w="75" w:type="dxa"/>
              <w:left w:w="75" w:type="dxa"/>
              <w:bottom w:w="75" w:type="dxa"/>
              <w:right w:w="75" w:type="dxa"/>
            </w:tcMar>
            <w:vAlign w:val="center"/>
          </w:tcPr>
          <w:p w14:paraId="6E7A4FF2" w14:textId="77777777" w:rsidR="00F357BE" w:rsidRDefault="00644374">
            <w:pPr>
              <w:jc w:val="left"/>
            </w:pPr>
            <w:r>
              <w:t>Atbildīgā persona</w:t>
            </w:r>
          </w:p>
        </w:tc>
        <w:tc>
          <w:tcPr>
            <w:tcW w:w="4856" w:type="dxa"/>
            <w:shd w:val="clear" w:color="auto" w:fill="FFFFFF"/>
            <w:noWrap/>
            <w:tcMar>
              <w:top w:w="75" w:type="dxa"/>
              <w:left w:w="75" w:type="dxa"/>
              <w:bottom w:w="75" w:type="dxa"/>
              <w:right w:w="75" w:type="dxa"/>
            </w:tcMar>
            <w:vAlign w:val="center"/>
          </w:tcPr>
          <w:p w14:paraId="6559E9ED" w14:textId="77777777" w:rsidR="00F357BE" w:rsidRDefault="00F357BE">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45702268" w14:textId="77777777" w:rsidR="00F357BE" w:rsidRDefault="00F357BE"/>
        </w:tc>
      </w:tr>
      <w:tr w:rsidR="00F357BE" w14:paraId="0D631BCB" w14:textId="77777777">
        <w:tc>
          <w:tcPr>
            <w:tcW w:w="4855" w:type="dxa"/>
            <w:shd w:val="clear" w:color="auto" w:fill="FFFFFF"/>
            <w:noWrap/>
            <w:tcMar>
              <w:top w:w="75" w:type="dxa"/>
              <w:left w:w="75" w:type="dxa"/>
              <w:bottom w:w="75" w:type="dxa"/>
              <w:right w:w="75" w:type="dxa"/>
            </w:tcMar>
            <w:vAlign w:val="center"/>
          </w:tcPr>
          <w:p w14:paraId="5987C563" w14:textId="77777777" w:rsidR="00F357BE" w:rsidRDefault="00F357BE"/>
        </w:tc>
        <w:tc>
          <w:tcPr>
            <w:tcW w:w="4856" w:type="dxa"/>
            <w:shd w:val="clear" w:color="auto" w:fill="FFFFFF"/>
            <w:noWrap/>
            <w:tcMar>
              <w:top w:w="75" w:type="dxa"/>
              <w:left w:w="75" w:type="dxa"/>
              <w:bottom w:w="75" w:type="dxa"/>
              <w:right w:w="75" w:type="dxa"/>
            </w:tcMar>
            <w:vAlign w:val="center"/>
          </w:tcPr>
          <w:p w14:paraId="48AC5F86" w14:textId="77777777" w:rsidR="00F357BE" w:rsidRDefault="00644374">
            <w:pPr>
              <w:jc w:val="center"/>
            </w:pPr>
            <w:r>
              <w:t>(vārds, uzvārds, paraksts**)</w:t>
            </w:r>
          </w:p>
        </w:tc>
        <w:tc>
          <w:tcPr>
            <w:tcW w:w="4856" w:type="dxa"/>
            <w:shd w:val="clear" w:color="auto" w:fill="FFFFFF"/>
            <w:noWrap/>
            <w:tcMar>
              <w:top w:w="75" w:type="dxa"/>
              <w:left w:w="75" w:type="dxa"/>
              <w:bottom w:w="75" w:type="dxa"/>
              <w:right w:w="75" w:type="dxa"/>
            </w:tcMar>
            <w:vAlign w:val="center"/>
          </w:tcPr>
          <w:p w14:paraId="17D97B7D" w14:textId="77777777" w:rsidR="00F357BE" w:rsidRDefault="00F357BE"/>
        </w:tc>
      </w:tr>
    </w:tbl>
    <w:p w14:paraId="2E2DE2C2" w14:textId="77777777" w:rsidR="00F357BE" w:rsidRDefault="00F357BE"/>
    <w:p w14:paraId="3161062B" w14:textId="77777777" w:rsidR="00F357BE" w:rsidRDefault="00644374">
      <w:r>
        <w:t>Piezīmes.</w:t>
      </w:r>
    </w:p>
    <w:p w14:paraId="7236635B" w14:textId="77777777" w:rsidR="00F357BE" w:rsidRDefault="00644374">
      <w:r>
        <w:t>* Iesniedzējs (fiziskai personai – vārds, uzvārds, juridiskai personai – nosaukums) var tikt publiskots, ja viņš tam ir piekritis. Ja attiecināms, iesniedzējs norāda interešu pārstāvja reģistrācijas numuru.</w:t>
      </w:r>
    </w:p>
    <w:p w14:paraId="2B8E7BB1" w14:textId="77777777" w:rsidR="00F357BE" w:rsidRDefault="00644374">
      <w:r>
        <w:t>** Dokumenta rekvizītus "datums" un "paraksts" neaizpilda, ja elektroniskais dokuments ir sagatavots atbilstoši normatīvajiem aktiem par elektronisko dokumentu noformēšanu.</w:t>
      </w:r>
    </w:p>
    <w:sectPr w:rsidR="00F357BE">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57098" w14:textId="77777777" w:rsidR="009871F1" w:rsidRDefault="009871F1">
      <w:r>
        <w:separator/>
      </w:r>
    </w:p>
  </w:endnote>
  <w:endnote w:type="continuationSeparator" w:id="0">
    <w:p w14:paraId="4162E2E9" w14:textId="77777777" w:rsidR="009871F1" w:rsidRDefault="00987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A3D51" w14:textId="77777777" w:rsidR="00F357BE" w:rsidRDefault="00644374">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004C" w14:textId="77777777" w:rsidR="00644374" w:rsidRDefault="0064437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7FD13" w14:textId="77777777" w:rsidR="009871F1" w:rsidRDefault="009871F1">
      <w:r>
        <w:separator/>
      </w:r>
    </w:p>
  </w:footnote>
  <w:footnote w:type="continuationSeparator" w:id="0">
    <w:p w14:paraId="6CB49A9D" w14:textId="77777777" w:rsidR="009871F1" w:rsidRDefault="00987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0DB71" w14:textId="77777777" w:rsidR="00F357BE" w:rsidRDefault="00644374">
    <w:pPr>
      <w:pStyle w:val="Header"/>
      <w:contextualSpacing w:val="0"/>
    </w:pPr>
    <w:r>
      <w:t>Viedokļu pārskats 25-TA-1118</w:t>
    </w:r>
    <w:r>
      <w:br/>
      <w:t>Izdrukāts 25.06.2025. 14.33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5F9EE" w14:textId="77777777" w:rsidR="00F357BE" w:rsidRDefault="00644374">
    <w:pPr>
      <w:pStyle w:val="Header"/>
      <w:contextualSpacing w:val="0"/>
    </w:pPr>
    <w:r>
      <w:t>Viedokļu pārskats 25-TA-1118</w:t>
    </w:r>
    <w:r>
      <w:br/>
      <w:t>Izdrukāts 25.06.2025. 14.33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7BE"/>
    <w:rsid w:val="0003786C"/>
    <w:rsid w:val="0008461B"/>
    <w:rsid w:val="000B0ECA"/>
    <w:rsid w:val="000F6496"/>
    <w:rsid w:val="00112B08"/>
    <w:rsid w:val="00133602"/>
    <w:rsid w:val="00166350"/>
    <w:rsid w:val="001C175C"/>
    <w:rsid w:val="001C7048"/>
    <w:rsid w:val="00260054"/>
    <w:rsid w:val="00332F44"/>
    <w:rsid w:val="00374680"/>
    <w:rsid w:val="003A0A6A"/>
    <w:rsid w:val="0042743D"/>
    <w:rsid w:val="004A7825"/>
    <w:rsid w:val="004C016B"/>
    <w:rsid w:val="0059535B"/>
    <w:rsid w:val="005E19CF"/>
    <w:rsid w:val="00617D43"/>
    <w:rsid w:val="00644374"/>
    <w:rsid w:val="0075112F"/>
    <w:rsid w:val="007C5897"/>
    <w:rsid w:val="007D4DDC"/>
    <w:rsid w:val="008132C1"/>
    <w:rsid w:val="00864C1B"/>
    <w:rsid w:val="00893A2B"/>
    <w:rsid w:val="008A7A5A"/>
    <w:rsid w:val="008C4E25"/>
    <w:rsid w:val="009420F4"/>
    <w:rsid w:val="009871F1"/>
    <w:rsid w:val="009E0CC8"/>
    <w:rsid w:val="009E7385"/>
    <w:rsid w:val="00A14663"/>
    <w:rsid w:val="00A34156"/>
    <w:rsid w:val="00A44883"/>
    <w:rsid w:val="00AA0C19"/>
    <w:rsid w:val="00AA1044"/>
    <w:rsid w:val="00AD3EA2"/>
    <w:rsid w:val="00AE1769"/>
    <w:rsid w:val="00B87489"/>
    <w:rsid w:val="00B937C1"/>
    <w:rsid w:val="00BB625C"/>
    <w:rsid w:val="00C31DE8"/>
    <w:rsid w:val="00CD70F6"/>
    <w:rsid w:val="00CF79DA"/>
    <w:rsid w:val="00D05450"/>
    <w:rsid w:val="00D0691E"/>
    <w:rsid w:val="00D11151"/>
    <w:rsid w:val="00D20760"/>
    <w:rsid w:val="00D556F0"/>
    <w:rsid w:val="00DE7AC4"/>
    <w:rsid w:val="00E2383D"/>
    <w:rsid w:val="00EB7145"/>
    <w:rsid w:val="00F14ABA"/>
    <w:rsid w:val="00F211D5"/>
    <w:rsid w:val="00F357BE"/>
    <w:rsid w:val="00FE290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F6FCD"/>
  <w15:docId w15:val="{F69DF8E7-8325-4000-A715-F305C44E7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240524">
      <w:bodyDiv w:val="1"/>
      <w:marLeft w:val="0"/>
      <w:marRight w:val="0"/>
      <w:marTop w:val="0"/>
      <w:marBottom w:val="0"/>
      <w:divBdr>
        <w:top w:val="none" w:sz="0" w:space="0" w:color="auto"/>
        <w:left w:val="none" w:sz="0" w:space="0" w:color="auto"/>
        <w:bottom w:val="none" w:sz="0" w:space="0" w:color="auto"/>
        <w:right w:val="none" w:sz="0" w:space="0" w:color="auto"/>
      </w:divBdr>
    </w:div>
    <w:div w:id="1872062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129</TotalTime>
  <Pages>7</Pages>
  <Words>919</Words>
  <Characters>5239</Characters>
  <Application>Microsoft Office Word</Application>
  <DocSecurity>0</DocSecurity>
  <Lines>43</Lines>
  <Paragraphs>12</Paragraphs>
  <ScaleCrop>false</ScaleCrop>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viedoklu_parskats_25-TA-1118.docx</dc:title>
  <dc:creator>Dina Kucina</dc:creator>
  <cp:lastModifiedBy>Dina Kucina</cp:lastModifiedBy>
  <cp:revision>55</cp:revision>
  <dcterms:created xsi:type="dcterms:W3CDTF">2025-06-25T11:35:00Z</dcterms:created>
  <dcterms:modified xsi:type="dcterms:W3CDTF">2025-06-30T11:21:00Z</dcterms:modified>
</cp:coreProperties>
</file>