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6DB7" w:rsidRPr="004155AA" w:rsidRDefault="00D26DB7" w:rsidP="00D26DB7">
      <w:pPr>
        <w:jc w:val="center"/>
        <w:rPr>
          <w:rFonts w:ascii="Times New Roman" w:hAnsi="Times New Roman" w:cs="Times New Roman"/>
          <w:b/>
          <w:sz w:val="24"/>
          <w:szCs w:val="24"/>
        </w:rPr>
      </w:pPr>
      <w:r w:rsidRPr="004155AA">
        <w:rPr>
          <w:rFonts w:ascii="Times New Roman" w:hAnsi="Times New Roman" w:cs="Times New Roman"/>
          <w:b/>
          <w:sz w:val="24"/>
          <w:szCs w:val="24"/>
        </w:rPr>
        <w:t>Pārskats par sabiedrības līdzdalības laikā saņemto viedokli</w:t>
      </w:r>
    </w:p>
    <w:p w:rsidR="00D26DB7" w:rsidRPr="004155AA" w:rsidRDefault="00D26DB7" w:rsidP="00D26DB7">
      <w:pPr>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263"/>
        <w:gridCol w:w="7035"/>
        <w:gridCol w:w="4650"/>
      </w:tblGrid>
      <w:tr w:rsidR="00D26DB7" w:rsidRPr="004155AA" w:rsidTr="00D26DB7">
        <w:tc>
          <w:tcPr>
            <w:tcW w:w="2263" w:type="dxa"/>
          </w:tcPr>
          <w:p w:rsidR="00D26DB7" w:rsidRPr="004155AA" w:rsidRDefault="00D26DB7" w:rsidP="00D26DB7">
            <w:pPr>
              <w:jc w:val="center"/>
              <w:rPr>
                <w:rFonts w:ascii="Times New Roman" w:hAnsi="Times New Roman" w:cs="Times New Roman"/>
                <w:b/>
                <w:sz w:val="24"/>
                <w:szCs w:val="24"/>
              </w:rPr>
            </w:pPr>
            <w:r w:rsidRPr="004155AA">
              <w:rPr>
                <w:rFonts w:ascii="Times New Roman" w:hAnsi="Times New Roman" w:cs="Times New Roman"/>
                <w:b/>
                <w:sz w:val="24"/>
                <w:szCs w:val="24"/>
              </w:rPr>
              <w:t>Viedokļa sniedzējs</w:t>
            </w:r>
          </w:p>
        </w:tc>
        <w:tc>
          <w:tcPr>
            <w:tcW w:w="7035" w:type="dxa"/>
          </w:tcPr>
          <w:p w:rsidR="00D26DB7" w:rsidRPr="004155AA" w:rsidRDefault="00D26DB7" w:rsidP="00D26DB7">
            <w:pPr>
              <w:jc w:val="center"/>
              <w:rPr>
                <w:rFonts w:ascii="Times New Roman" w:hAnsi="Times New Roman" w:cs="Times New Roman"/>
                <w:b/>
                <w:sz w:val="24"/>
                <w:szCs w:val="24"/>
              </w:rPr>
            </w:pPr>
            <w:r w:rsidRPr="004155AA">
              <w:rPr>
                <w:rFonts w:ascii="Times New Roman" w:hAnsi="Times New Roman" w:cs="Times New Roman"/>
                <w:b/>
                <w:sz w:val="24"/>
                <w:szCs w:val="24"/>
              </w:rPr>
              <w:t>Viedoklis</w:t>
            </w:r>
          </w:p>
        </w:tc>
        <w:tc>
          <w:tcPr>
            <w:tcW w:w="4650" w:type="dxa"/>
          </w:tcPr>
          <w:p w:rsidR="00D26DB7" w:rsidRPr="004155AA" w:rsidRDefault="00D26DB7" w:rsidP="00D26DB7">
            <w:pPr>
              <w:jc w:val="center"/>
              <w:rPr>
                <w:rFonts w:ascii="Times New Roman" w:hAnsi="Times New Roman" w:cs="Times New Roman"/>
                <w:b/>
                <w:sz w:val="24"/>
                <w:szCs w:val="24"/>
              </w:rPr>
            </w:pPr>
            <w:r w:rsidRPr="004155AA">
              <w:rPr>
                <w:rFonts w:ascii="Times New Roman" w:hAnsi="Times New Roman" w:cs="Times New Roman"/>
                <w:b/>
                <w:sz w:val="24"/>
                <w:szCs w:val="24"/>
              </w:rPr>
              <w:t>Apstrāde</w:t>
            </w:r>
            <w:r w:rsidR="0009070B" w:rsidRPr="004155AA">
              <w:rPr>
                <w:rFonts w:ascii="Times New Roman" w:hAnsi="Times New Roman" w:cs="Times New Roman"/>
                <w:b/>
                <w:sz w:val="24"/>
                <w:szCs w:val="24"/>
              </w:rPr>
              <w:t>s informācija</w:t>
            </w:r>
          </w:p>
        </w:tc>
      </w:tr>
      <w:tr w:rsidR="00D26DB7" w:rsidRPr="004155AA" w:rsidTr="00D26DB7">
        <w:tc>
          <w:tcPr>
            <w:tcW w:w="2263" w:type="dxa"/>
          </w:tcPr>
          <w:p w:rsidR="00D26DB7" w:rsidRPr="004155AA" w:rsidRDefault="00D26DB7" w:rsidP="00D26DB7">
            <w:pPr>
              <w:jc w:val="center"/>
              <w:rPr>
                <w:rFonts w:ascii="Times New Roman" w:hAnsi="Times New Roman" w:cs="Times New Roman"/>
                <w:b/>
                <w:sz w:val="24"/>
                <w:szCs w:val="24"/>
              </w:rPr>
            </w:pPr>
            <w:r w:rsidRPr="004155AA">
              <w:rPr>
                <w:rFonts w:ascii="Times New Roman" w:hAnsi="Times New Roman" w:cs="Times New Roman"/>
                <w:sz w:val="24"/>
                <w:szCs w:val="24"/>
              </w:rPr>
              <w:t xml:space="preserve">Biedrība "Sabiedriskā politikas centrs </w:t>
            </w:r>
            <w:r w:rsidRPr="004155AA">
              <w:rPr>
                <w:rStyle w:val="scayt-misspell-word"/>
                <w:rFonts w:ascii="Times New Roman" w:hAnsi="Times New Roman" w:cs="Times New Roman"/>
                <w:sz w:val="24"/>
                <w:szCs w:val="24"/>
              </w:rPr>
              <w:t>PROVIDUS</w:t>
            </w:r>
            <w:r w:rsidRPr="004155AA">
              <w:rPr>
                <w:rFonts w:ascii="Times New Roman" w:hAnsi="Times New Roman" w:cs="Times New Roman"/>
                <w:sz w:val="24"/>
                <w:szCs w:val="24"/>
              </w:rPr>
              <w:t>"</w:t>
            </w:r>
          </w:p>
        </w:tc>
        <w:tc>
          <w:tcPr>
            <w:tcW w:w="7035" w:type="dxa"/>
          </w:tcPr>
          <w:p w:rsidR="00D26DB7" w:rsidRPr="004155AA" w:rsidRDefault="00D26DB7" w:rsidP="00D26DB7">
            <w:pPr>
              <w:jc w:val="both"/>
              <w:rPr>
                <w:rFonts w:ascii="Times New Roman" w:hAnsi="Times New Roman" w:cs="Times New Roman"/>
                <w:sz w:val="24"/>
                <w:szCs w:val="24"/>
              </w:rPr>
            </w:pPr>
            <w:r w:rsidRPr="004155AA">
              <w:rPr>
                <w:rFonts w:ascii="Times New Roman" w:hAnsi="Times New Roman" w:cs="Times New Roman"/>
                <w:color w:val="000000" w:themeColor="text1"/>
                <w:sz w:val="24"/>
                <w:szCs w:val="24"/>
              </w:rPr>
              <w:t xml:space="preserve">Informējam, ka tehnisku iemeslu dēļ neizdevās iesniegt komentārus tiesību akta projektam “Grozījumi Ukrainas civiliedzīvotāju atbalsta likumā” (projekta ID 26-TA-867). Zemāk pievienots </w:t>
            </w:r>
            <w:proofErr w:type="spellStart"/>
            <w:r w:rsidRPr="004155AA">
              <w:rPr>
                <w:rFonts w:ascii="Times New Roman" w:hAnsi="Times New Roman" w:cs="Times New Roman"/>
                <w:color w:val="000000" w:themeColor="text1"/>
                <w:sz w:val="24"/>
                <w:szCs w:val="24"/>
              </w:rPr>
              <w:t>domnīcas</w:t>
            </w:r>
            <w:proofErr w:type="spellEnd"/>
            <w:r w:rsidRPr="004155AA">
              <w:rPr>
                <w:rFonts w:ascii="Times New Roman" w:hAnsi="Times New Roman" w:cs="Times New Roman"/>
                <w:color w:val="000000" w:themeColor="text1"/>
                <w:sz w:val="24"/>
                <w:szCs w:val="24"/>
              </w:rPr>
              <w:t xml:space="preserve"> PROVIDUS </w:t>
            </w:r>
          </w:p>
          <w:p w:rsidR="00D26DB7" w:rsidRPr="004155AA" w:rsidRDefault="00D26DB7" w:rsidP="00D26DB7">
            <w:pPr>
              <w:rPr>
                <w:rFonts w:ascii="Times New Roman" w:hAnsi="Times New Roman" w:cs="Times New Roman"/>
                <w:bCs/>
                <w:sz w:val="24"/>
                <w:szCs w:val="24"/>
              </w:rPr>
            </w:pPr>
            <w:r w:rsidRPr="004155AA">
              <w:rPr>
                <w:rFonts w:ascii="Times New Roman" w:hAnsi="Times New Roman" w:cs="Times New Roman"/>
                <w:bCs/>
                <w:sz w:val="24"/>
                <w:szCs w:val="24"/>
              </w:rPr>
              <w:t xml:space="preserve">viedoklis. </w:t>
            </w:r>
          </w:p>
          <w:p w:rsidR="00D26DB7" w:rsidRPr="004155AA" w:rsidRDefault="00D26DB7" w:rsidP="00D26DB7">
            <w:pPr>
              <w:jc w:val="both"/>
              <w:rPr>
                <w:rFonts w:ascii="Times New Roman" w:hAnsi="Times New Roman" w:cs="Times New Roman"/>
                <w:sz w:val="24"/>
                <w:szCs w:val="24"/>
              </w:rPr>
            </w:pPr>
            <w:proofErr w:type="spellStart"/>
            <w:r w:rsidRPr="004155AA">
              <w:rPr>
                <w:rFonts w:ascii="Times New Roman" w:hAnsi="Times New Roman" w:cs="Times New Roman"/>
                <w:sz w:val="24"/>
                <w:szCs w:val="24"/>
              </w:rPr>
              <w:t>Domnīca</w:t>
            </w:r>
            <w:proofErr w:type="spellEnd"/>
            <w:r w:rsidRPr="004155AA">
              <w:rPr>
                <w:rFonts w:ascii="Times New Roman" w:hAnsi="Times New Roman" w:cs="Times New Roman"/>
                <w:sz w:val="24"/>
                <w:szCs w:val="24"/>
              </w:rPr>
              <w:t xml:space="preserve"> PROVIDUS pozitīvi vērtē iniciatīvu nodrošināt skaidrību un </w:t>
            </w:r>
            <w:proofErr w:type="spellStart"/>
            <w:r w:rsidRPr="004155AA">
              <w:rPr>
                <w:rFonts w:ascii="Times New Roman" w:hAnsi="Times New Roman" w:cs="Times New Roman"/>
                <w:sz w:val="24"/>
                <w:szCs w:val="24"/>
              </w:rPr>
              <w:t>paredzamību</w:t>
            </w:r>
            <w:proofErr w:type="spellEnd"/>
            <w:r w:rsidRPr="004155AA">
              <w:rPr>
                <w:rFonts w:ascii="Times New Roman" w:hAnsi="Times New Roman" w:cs="Times New Roman"/>
                <w:sz w:val="24"/>
                <w:szCs w:val="24"/>
              </w:rPr>
              <w:t xml:space="preserve"> attiecībā uz ilgtermiņa uzturēšanās iespējām tiem Ukrainas civiliedzīvotājiem, kuri potenciāli izvēlētos Latviju kā dzīvesvietu ilgtermiņā un apliecina valsts valodas zināšanas Latvijas tiesību aktos noteiktajā līmenī. </w:t>
            </w:r>
          </w:p>
          <w:p w:rsidR="00D26DB7" w:rsidRPr="004155AA" w:rsidRDefault="00D26DB7" w:rsidP="00D26DB7">
            <w:pPr>
              <w:jc w:val="both"/>
              <w:rPr>
                <w:rFonts w:ascii="Times New Roman" w:hAnsi="Times New Roman" w:cs="Times New Roman"/>
                <w:sz w:val="24"/>
                <w:szCs w:val="24"/>
              </w:rPr>
            </w:pPr>
            <w:r w:rsidRPr="004155AA">
              <w:rPr>
                <w:rFonts w:ascii="Times New Roman" w:hAnsi="Times New Roman" w:cs="Times New Roman"/>
                <w:sz w:val="24"/>
                <w:szCs w:val="24"/>
              </w:rPr>
              <w:t xml:space="preserve">Šajā kontekstā būtiski nodrošināt pieejamu, saprotamu un regulāri aktualizētu informāciju par iespējām mainīt uzturēšanās statusu, izmantojot Pilsonības un migrācijas lietu pārvaldei, pašvaldībām un ukraiņu kopienām pieejamos informācijas kanālus. </w:t>
            </w:r>
          </w:p>
          <w:p w:rsidR="00D26DB7" w:rsidRPr="004155AA" w:rsidRDefault="00D26DB7" w:rsidP="00D26DB7">
            <w:pPr>
              <w:jc w:val="both"/>
              <w:rPr>
                <w:rFonts w:ascii="Times New Roman" w:hAnsi="Times New Roman" w:cs="Times New Roman"/>
                <w:sz w:val="24"/>
                <w:szCs w:val="24"/>
              </w:rPr>
            </w:pPr>
            <w:r w:rsidRPr="004155AA">
              <w:rPr>
                <w:rFonts w:ascii="Times New Roman" w:hAnsi="Times New Roman" w:cs="Times New Roman"/>
                <w:sz w:val="24"/>
                <w:szCs w:val="24"/>
              </w:rPr>
              <w:t>Lai veicinātu pāreju uz pastāvīgu uzturēšanos Latvijā, nepieciešams izstrādāt skaidru un publiski pieejamu rīcības algoritmu, ņemot vērā Pagaidu aizsardzības direktīvas darbības noslēgumu 2027. gada martā.</w:t>
            </w:r>
            <w:r w:rsidRPr="004155AA">
              <w:rPr>
                <w:rStyle w:val="FootnoteReference"/>
                <w:rFonts w:ascii="Times New Roman" w:hAnsi="Times New Roman" w:cs="Times New Roman"/>
                <w:sz w:val="24"/>
                <w:szCs w:val="24"/>
              </w:rPr>
              <w:footnoteReference w:id="1"/>
            </w:r>
            <w:r w:rsidRPr="004155AA">
              <w:rPr>
                <w:rFonts w:ascii="Times New Roman" w:hAnsi="Times New Roman" w:cs="Times New Roman"/>
                <w:sz w:val="24"/>
                <w:szCs w:val="24"/>
              </w:rPr>
              <w:t xml:space="preserve"> Ņemot vērā Eiropas Savienības padomes ieteikumus 2025. gada 16. septembrī,</w:t>
            </w:r>
            <w:r w:rsidRPr="004155AA">
              <w:rPr>
                <w:rStyle w:val="FootnoteReference"/>
                <w:rFonts w:ascii="Times New Roman" w:hAnsi="Times New Roman" w:cs="Times New Roman"/>
                <w:sz w:val="24"/>
                <w:szCs w:val="24"/>
              </w:rPr>
              <w:footnoteReference w:id="2"/>
            </w:r>
            <w:r w:rsidRPr="004155AA">
              <w:rPr>
                <w:rFonts w:ascii="Times New Roman" w:hAnsi="Times New Roman" w:cs="Times New Roman"/>
                <w:sz w:val="24"/>
                <w:szCs w:val="24"/>
              </w:rPr>
              <w:t xml:space="preserve"> dalībvalstu īstenotajiem risinājumiem pārejai uz citiem uzturēšanās statusiem, būtiski ņemt vērā personu integrācijas pakāpi. Politikas plānošanas procesā ilgtermiņā būtiski noteikt pārejas periodu, </w:t>
            </w:r>
            <w:r w:rsidRPr="004155AA">
              <w:rPr>
                <w:rFonts w:ascii="Times New Roman" w:hAnsi="Times New Roman" w:cs="Times New Roman"/>
                <w:sz w:val="24"/>
                <w:szCs w:val="24"/>
              </w:rPr>
              <w:lastRenderedPageBreak/>
              <w:t>kas ļautu savlaicīgi nepieciešamības gadījumā iegūt jaunu uzturēšanās statusu, nezaudējot tiesisko pamatu uzturēties Latvijā.</w:t>
            </w:r>
          </w:p>
          <w:p w:rsidR="00D26DB7" w:rsidRPr="004155AA" w:rsidRDefault="00D26DB7" w:rsidP="00D26DB7">
            <w:pPr>
              <w:jc w:val="both"/>
              <w:rPr>
                <w:rFonts w:ascii="Times New Roman" w:hAnsi="Times New Roman" w:cs="Times New Roman"/>
                <w:sz w:val="24"/>
                <w:szCs w:val="24"/>
              </w:rPr>
            </w:pPr>
            <w:r w:rsidRPr="004155AA">
              <w:rPr>
                <w:rFonts w:ascii="Times New Roman" w:hAnsi="Times New Roman" w:cs="Times New Roman"/>
                <w:sz w:val="24"/>
                <w:szCs w:val="24"/>
              </w:rPr>
              <w:t>Vienlaikus vēlamies vērst uzmanību uz vairākiem aspektiem, kas ilgtermiņā var radīt izaicinājumus saistībā ar Ukrainas civiliedzīvotāju uzturēšanos Latvijas Republikā. Ņemot vērā, ka būtiska daļa Ukrainas civiliedzīvotāju nodarbināti zemāk atalgotās profesijās</w:t>
            </w:r>
            <w:r w:rsidRPr="004155AA">
              <w:rPr>
                <w:rStyle w:val="FootnoteReference"/>
                <w:rFonts w:ascii="Times New Roman" w:hAnsi="Times New Roman" w:cs="Times New Roman"/>
                <w:sz w:val="24"/>
                <w:szCs w:val="24"/>
              </w:rPr>
              <w:footnoteReference w:id="3"/>
            </w:r>
            <w:r w:rsidRPr="004155AA">
              <w:rPr>
                <w:rFonts w:ascii="Times New Roman" w:hAnsi="Times New Roman" w:cs="Times New Roman"/>
                <w:sz w:val="24"/>
                <w:szCs w:val="24"/>
              </w:rPr>
              <w:t xml:space="preserve"> un saskaras ar dažādiem sociālekonomiskajiem izaicinājumiem, turpmākajos lēmumos par tiesisko pamatu uzturēties Latvijā būtiski vērtēt individuālos apstākļus. Īpaša uzmanība būtu pievēršama mazāk aizsargātām personu grupām, tostarp personām ar invaliditāti, pensionāriem, personām ar zemiem ienākumiem, nepilngadīgām personām un studentiem, kuri turpina izglītības ieguvi Latvijā.</w:t>
            </w:r>
          </w:p>
          <w:p w:rsidR="00D26DB7" w:rsidRPr="004155AA" w:rsidRDefault="00D26DB7" w:rsidP="00D26DB7">
            <w:pPr>
              <w:jc w:val="center"/>
              <w:rPr>
                <w:rFonts w:ascii="Times New Roman" w:hAnsi="Times New Roman" w:cs="Times New Roman"/>
                <w:b/>
                <w:sz w:val="24"/>
                <w:szCs w:val="24"/>
              </w:rPr>
            </w:pPr>
          </w:p>
        </w:tc>
        <w:tc>
          <w:tcPr>
            <w:tcW w:w="4650" w:type="dxa"/>
          </w:tcPr>
          <w:p w:rsidR="00D26DB7" w:rsidRPr="004155AA" w:rsidRDefault="00D26DB7" w:rsidP="00D26DB7">
            <w:pPr>
              <w:jc w:val="both"/>
              <w:rPr>
                <w:rFonts w:ascii="Times New Roman" w:hAnsi="Times New Roman" w:cs="Times New Roman"/>
                <w:b/>
                <w:sz w:val="24"/>
                <w:szCs w:val="24"/>
              </w:rPr>
            </w:pPr>
            <w:proofErr w:type="spellStart"/>
            <w:r w:rsidRPr="004155AA">
              <w:rPr>
                <w:rFonts w:ascii="Times New Roman" w:hAnsi="Times New Roman" w:cs="Times New Roman"/>
                <w:sz w:val="24"/>
                <w:szCs w:val="24"/>
              </w:rPr>
              <w:lastRenderedPageBreak/>
              <w:t>Iekšlietu</w:t>
            </w:r>
            <w:proofErr w:type="spellEnd"/>
            <w:r w:rsidRPr="004155AA">
              <w:rPr>
                <w:rFonts w:ascii="Times New Roman" w:hAnsi="Times New Roman" w:cs="Times New Roman"/>
                <w:sz w:val="24"/>
                <w:szCs w:val="24"/>
              </w:rPr>
              <w:t xml:space="preserve"> ministrija vēlas norādīt, ka ir atbalstāms nevalstiskā sektora uzsvērtais mērķis nodrošināt Ukrainas civiliedzīvotājiem skaidru un saprotamu informāciju par iespējām iegūt citu uzturēšanās statusu, kā arī savlaicīgu informēšanu par piemērojamo regulējumu. Vienlaikus norādāms, ka likumprojekts nosaka tiesisko regulējumu pastāvīgās uzturēšanās atļaujas pieprasīšanai, savukārt jautājumi par informācijas pieejamību, praktisko piemērošanu un pārejas procesa organizēšanu tiks risināti tiesiskā regulējuma īstenošanas ietvaros, sadarbojoties ar kompetentajām institūcijām. </w:t>
            </w:r>
          </w:p>
        </w:tc>
      </w:tr>
      <w:tr w:rsidR="004155AA" w:rsidRPr="004155AA" w:rsidTr="00D26DB7">
        <w:tc>
          <w:tcPr>
            <w:tcW w:w="2263" w:type="dxa"/>
          </w:tcPr>
          <w:p w:rsidR="004155AA" w:rsidRPr="004155AA" w:rsidRDefault="004155AA" w:rsidP="004155AA">
            <w:pPr>
              <w:jc w:val="both"/>
              <w:rPr>
                <w:rFonts w:ascii="Times New Roman" w:hAnsi="Times New Roman" w:cs="Times New Roman"/>
                <w:color w:val="000000" w:themeColor="text1"/>
                <w:sz w:val="24"/>
                <w:szCs w:val="24"/>
              </w:rPr>
            </w:pPr>
            <w:r w:rsidRPr="004155AA">
              <w:rPr>
                <w:rFonts w:ascii="Times New Roman" w:hAnsi="Times New Roman" w:cs="Times New Roman"/>
                <w:color w:val="000000" w:themeColor="text1"/>
                <w:sz w:val="24"/>
                <w:szCs w:val="24"/>
              </w:rPr>
              <w:t>"Ukrainas studiju centrs"</w:t>
            </w:r>
          </w:p>
        </w:tc>
        <w:tc>
          <w:tcPr>
            <w:tcW w:w="7035" w:type="dxa"/>
          </w:tcPr>
          <w:p w:rsidR="004155AA" w:rsidRDefault="004155AA" w:rsidP="00D26DB7">
            <w:pPr>
              <w:jc w:val="both"/>
              <w:rPr>
                <w:rFonts w:ascii="Times New Roman" w:hAnsi="Times New Roman" w:cs="Times New Roman"/>
                <w:color w:val="000000" w:themeColor="text1"/>
                <w:sz w:val="24"/>
                <w:szCs w:val="24"/>
              </w:rPr>
            </w:pPr>
            <w:r w:rsidRPr="004155AA">
              <w:rPr>
                <w:rFonts w:ascii="Times New Roman" w:hAnsi="Times New Roman" w:cs="Times New Roman"/>
                <w:color w:val="000000" w:themeColor="text1"/>
                <w:sz w:val="24"/>
                <w:szCs w:val="24"/>
              </w:rPr>
              <w:t>Ukrainas civiliedzīvotāju priekšlikumi Latvijas valsts politikas pilnveidošanai</w:t>
            </w:r>
            <w:r w:rsidRPr="004155AA">
              <w:rPr>
                <w:rFonts w:ascii="Times New Roman" w:hAnsi="Times New Roman" w:cs="Times New Roman"/>
                <w:color w:val="000000" w:themeColor="text1"/>
                <w:sz w:val="24"/>
                <w:szCs w:val="24"/>
              </w:rPr>
              <w:br/>
              <w:t>Par Ukrainas civiliedzīvotāju tiesisko statusu</w:t>
            </w:r>
            <w:r w:rsidRPr="004155AA">
              <w:rPr>
                <w:rFonts w:ascii="Times New Roman" w:hAnsi="Times New Roman" w:cs="Times New Roman"/>
                <w:color w:val="000000" w:themeColor="text1"/>
                <w:sz w:val="24"/>
                <w:szCs w:val="24"/>
              </w:rPr>
              <w:br/>
              <w:t>Ievads</w:t>
            </w:r>
            <w:r w:rsidRPr="004155AA">
              <w:rPr>
                <w:rFonts w:ascii="Times New Roman" w:hAnsi="Times New Roman" w:cs="Times New Roman"/>
                <w:color w:val="000000" w:themeColor="text1"/>
                <w:sz w:val="24"/>
                <w:szCs w:val="24"/>
              </w:rPr>
              <w:br/>
              <w:t>Diskusijā, kas notika 2026. gada 8. jūnijā, Ukrainas civiliedzīvotāji Latvijā apsprieda aktuālus jautājumus, kas saistīti ar pagaidu aizsardzības statusu, uzturēšanās tiesībām, integrāciju, valsts valodas apguvi, nodarbinātību un diskriminācijas riskiem.</w:t>
            </w:r>
            <w:r w:rsidRPr="004155AA">
              <w:rPr>
                <w:rFonts w:ascii="Times New Roman" w:hAnsi="Times New Roman" w:cs="Times New Roman"/>
                <w:color w:val="000000" w:themeColor="text1"/>
                <w:sz w:val="24"/>
                <w:szCs w:val="24"/>
              </w:rPr>
              <w:br/>
              <w:t>Diskusijas dalībnieki pārstāvēja dažādas sociālās grupas – nodarbinātās personas, vecākus ar bērniem, studentus, pensionārus un nevalstisko organizāciju pārstāvjus.</w:t>
            </w:r>
          </w:p>
          <w:p w:rsidR="004155AA" w:rsidRDefault="004155AA" w:rsidP="00D26DB7">
            <w:pPr>
              <w:jc w:val="both"/>
              <w:rPr>
                <w:rFonts w:ascii="Times New Roman" w:hAnsi="Times New Roman" w:cs="Times New Roman"/>
                <w:color w:val="000000" w:themeColor="text1"/>
                <w:sz w:val="24"/>
                <w:szCs w:val="24"/>
              </w:rPr>
            </w:pPr>
            <w:r w:rsidRPr="004155AA">
              <w:rPr>
                <w:rFonts w:ascii="Times New Roman" w:hAnsi="Times New Roman" w:cs="Times New Roman"/>
                <w:color w:val="000000" w:themeColor="text1"/>
                <w:sz w:val="24"/>
                <w:szCs w:val="24"/>
              </w:rPr>
              <w:br/>
              <w:t xml:space="preserve">Apkopotie priekšlikumi paredzēti izskatīšanai valsts institūcijās, </w:t>
            </w:r>
            <w:r w:rsidRPr="004155AA">
              <w:rPr>
                <w:rFonts w:ascii="Times New Roman" w:hAnsi="Times New Roman" w:cs="Times New Roman"/>
                <w:color w:val="000000" w:themeColor="text1"/>
                <w:sz w:val="24"/>
                <w:szCs w:val="24"/>
              </w:rPr>
              <w:lastRenderedPageBreak/>
              <w:t>politikas veidošanas procesos un organizācijās, kas ir atbildīgas par integrācijas politikas īstenošanu.</w:t>
            </w:r>
          </w:p>
          <w:p w:rsidR="004155AA" w:rsidRDefault="004155AA" w:rsidP="00D26DB7">
            <w:pPr>
              <w:jc w:val="both"/>
              <w:rPr>
                <w:rFonts w:ascii="Times New Roman" w:hAnsi="Times New Roman" w:cs="Times New Roman"/>
                <w:color w:val="000000" w:themeColor="text1"/>
                <w:sz w:val="24"/>
                <w:szCs w:val="24"/>
              </w:rPr>
            </w:pPr>
            <w:r w:rsidRPr="004155AA">
              <w:rPr>
                <w:rFonts w:ascii="Times New Roman" w:hAnsi="Times New Roman" w:cs="Times New Roman"/>
                <w:color w:val="000000" w:themeColor="text1"/>
                <w:sz w:val="24"/>
                <w:szCs w:val="24"/>
              </w:rPr>
              <w:br/>
              <w:t>I. UZTURĒŠANĀS STATUSS UN TIESISKĀ NOTEIKTĪBA</w:t>
            </w:r>
            <w:r w:rsidRPr="004155AA">
              <w:rPr>
                <w:rFonts w:ascii="Times New Roman" w:hAnsi="Times New Roman" w:cs="Times New Roman"/>
                <w:color w:val="000000" w:themeColor="text1"/>
                <w:sz w:val="24"/>
                <w:szCs w:val="24"/>
              </w:rPr>
              <w:br/>
            </w:r>
            <w:r w:rsidRPr="004155AA">
              <w:rPr>
                <w:rFonts w:ascii="Times New Roman" w:hAnsi="Times New Roman" w:cs="Times New Roman"/>
                <w:color w:val="000000" w:themeColor="text1"/>
                <w:sz w:val="24"/>
                <w:szCs w:val="24"/>
              </w:rPr>
              <w:br/>
            </w:r>
            <w:proofErr w:type="spellStart"/>
            <w:r w:rsidRPr="004155AA">
              <w:rPr>
                <w:rFonts w:ascii="Times New Roman" w:hAnsi="Times New Roman" w:cs="Times New Roman"/>
                <w:color w:val="000000" w:themeColor="text1"/>
                <w:sz w:val="24"/>
                <w:szCs w:val="24"/>
              </w:rPr>
              <w:t>Fokusgrupas</w:t>
            </w:r>
            <w:proofErr w:type="spellEnd"/>
            <w:r w:rsidRPr="004155AA">
              <w:rPr>
                <w:rFonts w:ascii="Times New Roman" w:hAnsi="Times New Roman" w:cs="Times New Roman"/>
                <w:color w:val="000000" w:themeColor="text1"/>
                <w:sz w:val="24"/>
                <w:szCs w:val="24"/>
              </w:rPr>
              <w:t xml:space="preserve"> dalībnieki norādīja uz nepietiekamu skaidrību attiecībā uz Ukrainas civiliedzīvotāju turpmāko tiesisko statusu Latvijā pēc pagaidu aizsardzības režīma beigām.</w:t>
            </w:r>
          </w:p>
          <w:p w:rsidR="004155AA" w:rsidRPr="004155AA" w:rsidRDefault="004155AA" w:rsidP="00D26DB7">
            <w:pPr>
              <w:jc w:val="both"/>
              <w:rPr>
                <w:rFonts w:ascii="Times New Roman" w:hAnsi="Times New Roman" w:cs="Times New Roman"/>
                <w:color w:val="000000" w:themeColor="text1"/>
                <w:sz w:val="24"/>
                <w:szCs w:val="24"/>
              </w:rPr>
            </w:pPr>
            <w:r w:rsidRPr="004155AA">
              <w:rPr>
                <w:rFonts w:ascii="Times New Roman" w:hAnsi="Times New Roman" w:cs="Times New Roman"/>
                <w:color w:val="000000" w:themeColor="text1"/>
                <w:sz w:val="24"/>
                <w:szCs w:val="24"/>
              </w:rPr>
              <w:br/>
              <w:t>Īpašas bažas rada</w:t>
            </w:r>
            <w:r>
              <w:rPr>
                <w:rFonts w:ascii="Times New Roman" w:hAnsi="Times New Roman" w:cs="Times New Roman"/>
                <w:color w:val="000000" w:themeColor="text1"/>
                <w:sz w:val="24"/>
                <w:szCs w:val="24"/>
              </w:rPr>
              <w:t xml:space="preserve"> </w:t>
            </w:r>
            <w:r w:rsidRPr="004155AA">
              <w:rPr>
                <w:rFonts w:ascii="Times New Roman" w:hAnsi="Times New Roman" w:cs="Times New Roman"/>
                <w:color w:val="000000" w:themeColor="text1"/>
                <w:sz w:val="24"/>
                <w:szCs w:val="24"/>
              </w:rPr>
              <w:t>skaidra pakāpeniska mehānisma trūkums pārejai no pagaidu aizsardzības uz citiem uzturēšanās atļauju veidiem;</w:t>
            </w:r>
            <w:r w:rsidRPr="004155AA">
              <w:rPr>
                <w:rFonts w:ascii="Times New Roman" w:hAnsi="Times New Roman" w:cs="Times New Roman"/>
                <w:color w:val="000000" w:themeColor="text1"/>
                <w:sz w:val="24"/>
                <w:szCs w:val="24"/>
              </w:rPr>
              <w:br/>
              <w:t>nenoteikti kritēriji pastāvīgās uzturēšanās atļaujas saņemšanai;</w:t>
            </w:r>
            <w:r w:rsidRPr="004155AA">
              <w:rPr>
                <w:rFonts w:ascii="Times New Roman" w:hAnsi="Times New Roman" w:cs="Times New Roman"/>
                <w:color w:val="000000" w:themeColor="text1"/>
                <w:sz w:val="24"/>
                <w:szCs w:val="24"/>
              </w:rPr>
              <w:br/>
              <w:t>atšķirīga normatīvā regulējuma interpretācija dažādās institūcijās;</w:t>
            </w:r>
            <w:r w:rsidRPr="004155AA">
              <w:rPr>
                <w:rFonts w:ascii="Times New Roman" w:hAnsi="Times New Roman" w:cs="Times New Roman"/>
                <w:color w:val="000000" w:themeColor="text1"/>
                <w:sz w:val="24"/>
                <w:szCs w:val="24"/>
              </w:rPr>
              <w:br/>
              <w:t>neskaidrības par humāno vīzu perioda ieskaitīšanu uzturēšanās termiņā;</w:t>
            </w:r>
            <w:r w:rsidRPr="004155AA">
              <w:rPr>
                <w:rFonts w:ascii="Times New Roman" w:hAnsi="Times New Roman" w:cs="Times New Roman"/>
                <w:color w:val="000000" w:themeColor="text1"/>
                <w:sz w:val="24"/>
                <w:szCs w:val="24"/>
              </w:rPr>
              <w:br/>
              <w:t>nepietiekama informācijas pieejamība par statusa maiņas iespējām.</w:t>
            </w:r>
            <w:r w:rsidRPr="004155AA">
              <w:rPr>
                <w:rFonts w:ascii="Times New Roman" w:hAnsi="Times New Roman" w:cs="Times New Roman"/>
                <w:color w:val="000000" w:themeColor="text1"/>
                <w:sz w:val="24"/>
                <w:szCs w:val="24"/>
              </w:rPr>
              <w:br/>
              <w:t>Priekšlikumi</w:t>
            </w:r>
            <w:r>
              <w:rPr>
                <w:rFonts w:ascii="Times New Roman" w:hAnsi="Times New Roman" w:cs="Times New Roman"/>
                <w:color w:val="000000" w:themeColor="text1"/>
                <w:sz w:val="24"/>
                <w:szCs w:val="24"/>
              </w:rPr>
              <w:t>:</w:t>
            </w:r>
            <w:r w:rsidRPr="004155AA">
              <w:rPr>
                <w:rFonts w:ascii="Times New Roman" w:hAnsi="Times New Roman" w:cs="Times New Roman"/>
                <w:color w:val="000000" w:themeColor="text1"/>
                <w:sz w:val="24"/>
                <w:szCs w:val="24"/>
              </w:rPr>
              <w:br/>
              <w:t>1.</w:t>
            </w:r>
            <w:r>
              <w:rPr>
                <w:rFonts w:ascii="Times New Roman" w:hAnsi="Times New Roman" w:cs="Times New Roman"/>
                <w:color w:val="000000" w:themeColor="text1"/>
                <w:sz w:val="24"/>
                <w:szCs w:val="24"/>
              </w:rPr>
              <w:t>i</w:t>
            </w:r>
            <w:r w:rsidRPr="004155AA">
              <w:rPr>
                <w:rFonts w:ascii="Times New Roman" w:hAnsi="Times New Roman" w:cs="Times New Roman"/>
                <w:color w:val="000000" w:themeColor="text1"/>
                <w:sz w:val="24"/>
                <w:szCs w:val="24"/>
              </w:rPr>
              <w:t xml:space="preserve">zstrādāt skaidru, caurskatāmu un publiski pieejamu pakāpeniskas pārejas mehānismu </w:t>
            </w:r>
            <w:r w:rsidRPr="0048589A">
              <w:rPr>
                <w:rFonts w:ascii="Times New Roman" w:hAnsi="Times New Roman" w:cs="Times New Roman"/>
                <w:color w:val="000000" w:themeColor="text1"/>
                <w:sz w:val="24"/>
                <w:szCs w:val="24"/>
              </w:rPr>
              <w:t>no pagaidu aizsardzības statusa uz citiem uzturēšanās tiesību veidiem, ņemot vērā Ukrainas civiliedzīvotāju sociālekonomisko situāciju Latvijā, reģionālās ienākumu atšķirības un integrācijas pakāpi darba tirgū.</w:t>
            </w:r>
            <w:r w:rsidRPr="0048589A">
              <w:rPr>
                <w:rFonts w:ascii="Times New Roman" w:hAnsi="Times New Roman" w:cs="Times New Roman"/>
                <w:color w:val="000000" w:themeColor="text1"/>
                <w:sz w:val="24"/>
                <w:szCs w:val="24"/>
              </w:rPr>
              <w:br/>
              <w:t>Nosakot pārejas kritērijus, nepieciešams ņemt vērā, ka darba samaksa daudzās Ukrainas civiliedzīvotājiem pieejamajās vakancēs bieži nepārsniedz minimālo vai valstī noteikto vidējo ienākumu līmeni, kas var ierobežot iespējas izpildīt prasības cita uzturēšanās statusa saņemšanai.</w:t>
            </w:r>
            <w:r w:rsidRPr="004155AA">
              <w:rPr>
                <w:rFonts w:ascii="Times New Roman" w:hAnsi="Times New Roman" w:cs="Times New Roman"/>
                <w:color w:val="000000" w:themeColor="text1"/>
                <w:sz w:val="24"/>
                <w:szCs w:val="24"/>
              </w:rPr>
              <w:br/>
              <w:t>2.Paredzēt pārejas periodu pēc pagaidu aizsardzības režīma izbeigšanās, nodrošinot pietiekamu laiku dokumentu iesniegšanai un jauna uzturēšanās statusa noformēšanai bez riska zaudēt tiesisko pamatu uzturēties Latvijas Republikā.</w:t>
            </w:r>
            <w:r w:rsidRPr="004155AA">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lastRenderedPageBreak/>
              <w:t xml:space="preserve">3. </w:t>
            </w:r>
            <w:r w:rsidRPr="004155AA">
              <w:rPr>
                <w:rFonts w:ascii="Times New Roman" w:hAnsi="Times New Roman" w:cs="Times New Roman"/>
                <w:color w:val="000000" w:themeColor="text1"/>
                <w:sz w:val="24"/>
                <w:szCs w:val="24"/>
              </w:rPr>
              <w:t>Pieņemot lēmumus par uzturēšanās statusa piešķiršanu, nodrošināt individuālu lietas apstākļu izvērtēšanu, ņemot vērā personas nodarbinātību, ģimenes situāciju, izglītību, integrācijas līmeni un citus būtiskus apstākļus.</w:t>
            </w:r>
            <w:r w:rsidRPr="004155AA">
              <w:rPr>
                <w:rFonts w:ascii="Times New Roman" w:hAnsi="Times New Roman" w:cs="Times New Roman"/>
                <w:color w:val="000000" w:themeColor="text1"/>
                <w:sz w:val="24"/>
                <w:szCs w:val="24"/>
              </w:rPr>
              <w:br/>
              <w:t>Vienlaikus nodrošināt personām savlaicīgu informāciju par iespējamiem risinājumiem un alternatīvām, kas var veicināt pozitīvu lēmumu par uzturēšanās tiesību piešķiršanu.</w:t>
            </w:r>
            <w:r w:rsidRPr="004155AA">
              <w:rPr>
                <w:rFonts w:ascii="Times New Roman" w:hAnsi="Times New Roman" w:cs="Times New Roman"/>
                <w:color w:val="000000" w:themeColor="text1"/>
                <w:sz w:val="24"/>
                <w:szCs w:val="24"/>
              </w:rPr>
              <w:br/>
              <w:t>4.</w:t>
            </w:r>
            <w:r>
              <w:rPr>
                <w:rFonts w:ascii="Times New Roman" w:hAnsi="Times New Roman" w:cs="Times New Roman"/>
                <w:color w:val="000000" w:themeColor="text1"/>
                <w:sz w:val="24"/>
                <w:szCs w:val="24"/>
              </w:rPr>
              <w:t xml:space="preserve"> </w:t>
            </w:r>
            <w:r w:rsidRPr="004155AA">
              <w:rPr>
                <w:rFonts w:ascii="Times New Roman" w:hAnsi="Times New Roman" w:cs="Times New Roman"/>
                <w:color w:val="000000" w:themeColor="text1"/>
                <w:sz w:val="24"/>
                <w:szCs w:val="24"/>
              </w:rPr>
              <w:t>Nodrošināt vienotu normatīvā regulējuma interpretāciju visās valsts iestādēs attiecībā uz:</w:t>
            </w:r>
            <w:r w:rsidRPr="004155AA">
              <w:rPr>
                <w:rFonts w:ascii="Times New Roman" w:hAnsi="Times New Roman" w:cs="Times New Roman"/>
                <w:color w:val="000000" w:themeColor="text1"/>
                <w:sz w:val="24"/>
                <w:szCs w:val="24"/>
              </w:rPr>
              <w:br/>
              <w:t>nepārtrauktas uzturēšanās termiņa aprēķināšanu;</w:t>
            </w:r>
            <w:r w:rsidRPr="004155AA">
              <w:rPr>
                <w:rFonts w:ascii="Times New Roman" w:hAnsi="Times New Roman" w:cs="Times New Roman"/>
                <w:color w:val="000000" w:themeColor="text1"/>
                <w:sz w:val="24"/>
                <w:szCs w:val="24"/>
              </w:rPr>
              <w:br/>
              <w:t>humāno vīzu perioda ieskaitīšanu;</w:t>
            </w:r>
            <w:r w:rsidRPr="004155AA">
              <w:rPr>
                <w:rFonts w:ascii="Times New Roman" w:hAnsi="Times New Roman" w:cs="Times New Roman"/>
                <w:color w:val="000000" w:themeColor="text1"/>
                <w:sz w:val="24"/>
                <w:szCs w:val="24"/>
              </w:rPr>
              <w:br/>
              <w:t>statusa maiņas iespējām;</w:t>
            </w:r>
            <w:r w:rsidRPr="004155AA">
              <w:rPr>
                <w:rFonts w:ascii="Times New Roman" w:hAnsi="Times New Roman" w:cs="Times New Roman"/>
                <w:color w:val="000000" w:themeColor="text1"/>
                <w:sz w:val="24"/>
                <w:szCs w:val="24"/>
              </w:rPr>
              <w:br/>
              <w:t>pārejas nosacījumiem no pagaidu aizsardzības uz citiem uzturēšanās veidiem.</w:t>
            </w:r>
            <w:r w:rsidRPr="004155AA">
              <w:rPr>
                <w:rFonts w:ascii="Times New Roman" w:hAnsi="Times New Roman" w:cs="Times New Roman"/>
                <w:color w:val="000000" w:themeColor="text1"/>
                <w:sz w:val="24"/>
                <w:szCs w:val="24"/>
              </w:rPr>
              <w:br/>
              <w:t>5.</w:t>
            </w:r>
            <w:r w:rsidRPr="004155AA">
              <w:rPr>
                <w:rFonts w:ascii="Times New Roman" w:hAnsi="Times New Roman" w:cs="Times New Roman"/>
                <w:color w:val="000000" w:themeColor="text1"/>
                <w:sz w:val="24"/>
                <w:szCs w:val="24"/>
              </w:rPr>
              <w:br/>
              <w:t>Izvērtēt iespēju humānās vīzas periodu ieskaitīt kopējā uzturēšanās termiņā, kas nepieciešams pastāvīgās uzturēšanās atļaujas saņemšanai.</w:t>
            </w:r>
            <w:r w:rsidRPr="004155AA">
              <w:rPr>
                <w:rFonts w:ascii="Times New Roman" w:hAnsi="Times New Roman" w:cs="Times New Roman"/>
                <w:color w:val="000000" w:themeColor="text1"/>
                <w:sz w:val="24"/>
                <w:szCs w:val="24"/>
              </w:rPr>
              <w:br/>
              <w:t>6.</w:t>
            </w:r>
            <w:r>
              <w:rPr>
                <w:rFonts w:ascii="Times New Roman" w:hAnsi="Times New Roman" w:cs="Times New Roman"/>
                <w:color w:val="000000" w:themeColor="text1"/>
                <w:sz w:val="24"/>
                <w:szCs w:val="24"/>
              </w:rPr>
              <w:t xml:space="preserve"> </w:t>
            </w:r>
            <w:r w:rsidRPr="00D5401B">
              <w:rPr>
                <w:rFonts w:ascii="Times New Roman" w:hAnsi="Times New Roman" w:cs="Times New Roman"/>
                <w:color w:val="000000" w:themeColor="text1"/>
                <w:sz w:val="24"/>
                <w:szCs w:val="24"/>
              </w:rPr>
              <w:t>Nodrošināt atsevišķus risinājumus:</w:t>
            </w:r>
            <w:r w:rsidRPr="00D5401B">
              <w:rPr>
                <w:rFonts w:ascii="Times New Roman" w:hAnsi="Times New Roman" w:cs="Times New Roman"/>
                <w:color w:val="000000" w:themeColor="text1"/>
                <w:sz w:val="24"/>
                <w:szCs w:val="24"/>
              </w:rPr>
              <w:br/>
              <w:t>pensionāriem;</w:t>
            </w:r>
            <w:r w:rsidRPr="00D5401B">
              <w:rPr>
                <w:rFonts w:ascii="Times New Roman" w:hAnsi="Times New Roman" w:cs="Times New Roman"/>
                <w:color w:val="000000" w:themeColor="text1"/>
                <w:sz w:val="24"/>
                <w:szCs w:val="24"/>
              </w:rPr>
              <w:br/>
              <w:t>personām ar invaliditāti;</w:t>
            </w:r>
            <w:r w:rsidRPr="00D5401B">
              <w:rPr>
                <w:rFonts w:ascii="Times New Roman" w:hAnsi="Times New Roman" w:cs="Times New Roman"/>
                <w:color w:val="000000" w:themeColor="text1"/>
                <w:sz w:val="24"/>
                <w:szCs w:val="24"/>
              </w:rPr>
              <w:br/>
              <w:t>personām ar nepietiekamiem ienākumiem;</w:t>
            </w:r>
            <w:r w:rsidRPr="00D5401B">
              <w:rPr>
                <w:rFonts w:ascii="Times New Roman" w:hAnsi="Times New Roman" w:cs="Times New Roman"/>
                <w:color w:val="000000" w:themeColor="text1"/>
                <w:sz w:val="24"/>
                <w:szCs w:val="24"/>
              </w:rPr>
              <w:br/>
              <w:t>pilngadību sasniegušiem jauniešiem, kuri turpina izglītību.</w:t>
            </w:r>
            <w:r w:rsidRPr="00D5401B">
              <w:rPr>
                <w:rFonts w:ascii="Times New Roman" w:hAnsi="Times New Roman" w:cs="Times New Roman"/>
                <w:color w:val="000000" w:themeColor="text1"/>
                <w:sz w:val="24"/>
                <w:szCs w:val="24"/>
              </w:rPr>
              <w:br/>
              <w:t>7.</w:t>
            </w:r>
            <w:r w:rsidRPr="004155AA">
              <w:rPr>
                <w:rFonts w:ascii="Times New Roman" w:hAnsi="Times New Roman" w:cs="Times New Roman"/>
                <w:color w:val="000000" w:themeColor="text1"/>
                <w:sz w:val="24"/>
                <w:szCs w:val="24"/>
              </w:rPr>
              <w:br/>
              <w:t>Nodrošināt pieejamu, saprotamu un regulāri atjaunotu informāciju par pāreju uz citiem uzturēšanās statusiem, izmantojot Pilsonības un migrācijas lietu pārvaldes, pašvaldību koordinatoru un citu iesaistīto institūciju informācijas kanālus.</w:t>
            </w:r>
            <w:r w:rsidRPr="004155AA">
              <w:rPr>
                <w:rFonts w:ascii="Times New Roman" w:hAnsi="Times New Roman" w:cs="Times New Roman"/>
                <w:color w:val="000000" w:themeColor="text1"/>
                <w:sz w:val="24"/>
                <w:szCs w:val="24"/>
              </w:rPr>
              <w:br/>
              <w:t>Informācijai jābūt pieejamai vairākās valodās, lai mazinātu dezinformācijas riskus, novērstu tiesisko nenoteiktību un mazinātu sabiedrības bažas.</w:t>
            </w:r>
          </w:p>
        </w:tc>
        <w:tc>
          <w:tcPr>
            <w:tcW w:w="4650" w:type="dxa"/>
          </w:tcPr>
          <w:p w:rsidR="0048589A" w:rsidRDefault="0031512E" w:rsidP="0048589A">
            <w:pPr>
              <w:pStyle w:val="isselectedend"/>
              <w:jc w:val="both"/>
            </w:pPr>
            <w:r>
              <w:lastRenderedPageBreak/>
              <w:t>Eiropas Komisija ir rosinājusi</w:t>
            </w:r>
            <w:r w:rsidR="0048589A">
              <w:t xml:space="preserve"> </w:t>
            </w:r>
            <w:r w:rsidR="0048589A">
              <w:t>Ukrainas civiliedzīvotājiem</w:t>
            </w:r>
            <w:r>
              <w:t xml:space="preserve"> pagarināt pagaidu aizsardzības </w:t>
            </w:r>
            <w:r>
              <w:t xml:space="preserve">statusa </w:t>
            </w:r>
            <w:r>
              <w:t>piemērošanu</w:t>
            </w:r>
            <w:r>
              <w:t xml:space="preserve"> </w:t>
            </w:r>
            <w:r>
              <w:t>līdz 2028. gada 4. martam</w:t>
            </w:r>
            <w:r>
              <w:t xml:space="preserve">. Līdz ar to </w:t>
            </w:r>
            <w:r>
              <w:t>likumprojektā netiek mainīts</w:t>
            </w:r>
            <w:r>
              <w:t xml:space="preserve"> pašreiz </w:t>
            </w:r>
            <w:r>
              <w:t xml:space="preserve"> esošais tiesiskais regulējums attiecībā uz Ukrainas civiliedzīvotāju tiesībām saņemt </w:t>
            </w:r>
            <w:proofErr w:type="spellStart"/>
            <w:r>
              <w:t>termiņuzturēšanās</w:t>
            </w:r>
            <w:proofErr w:type="spellEnd"/>
            <w:r>
              <w:t xml:space="preserve"> atļauju. </w:t>
            </w:r>
            <w:r>
              <w:t>L</w:t>
            </w:r>
            <w:r>
              <w:t xml:space="preserve">ikumprojekts paredz papildu iespēju Ukrainas civiliedzīvotājiem, kuri atbilst </w:t>
            </w:r>
            <w:r>
              <w:t>tiesību aktos</w:t>
            </w:r>
            <w:r>
              <w:t xml:space="preserve"> noteiktajiem kritērijiem, saņemt pastāvīgās uzturēšanās atļauju. Tādējādi likumprojekts paplašina Ukrainas civiliedzīvotājiem pieejamās uzturēšanās iespējas, nevis </w:t>
            </w:r>
            <w:r>
              <w:lastRenderedPageBreak/>
              <w:t xml:space="preserve">sašaurina </w:t>
            </w:r>
            <w:r>
              <w:t>līdzšinējas tiesības.</w:t>
            </w:r>
            <w:r w:rsidR="0048589A">
              <w:t xml:space="preserve"> </w:t>
            </w:r>
            <w:r w:rsidR="0048589A" w:rsidRPr="0048589A">
              <w:t>Tāpat likumprojekts neizslēdz Ukrainas civiliedzīvotājiem iespēju pieprasīt uzturēšanās atļauju arī uz citiem Imigrācijas likumā noteiktajiem pamatiem, ja tiek izpildīti noteiktie nosacījumi.</w:t>
            </w:r>
          </w:p>
          <w:p w:rsidR="0048589A" w:rsidRDefault="0048589A" w:rsidP="0048589A">
            <w:pPr>
              <w:pStyle w:val="isselectedend"/>
              <w:jc w:val="both"/>
            </w:pPr>
            <w:r>
              <w:t>Kā arī, ņemot vērā</w:t>
            </w:r>
            <w:r w:rsidRPr="0048589A">
              <w:t xml:space="preserve"> Ukrainas civiliedzīvotāju situāciju un nodrošinot iespēju tiem Ukrainas civiliedzīvotājiem, kuri nepārtraukti uzturējušies Latvijas Republikā, pieprasīt pastāvīgās uzturēšanās atļauju, likumprojektā ir </w:t>
            </w:r>
            <w:r w:rsidRPr="0048589A">
              <w:t xml:space="preserve">ietverts </w:t>
            </w:r>
            <w:r w:rsidRPr="0048589A">
              <w:t xml:space="preserve"> </w:t>
            </w:r>
            <w:r w:rsidRPr="0048589A">
              <w:t>speciāls tiesiskais</w:t>
            </w:r>
            <w:r w:rsidRPr="0048589A">
              <w:t xml:space="preserve"> regulējums. Kā norādīts likumprojekta anotācijā, saskaņā ar Imigrācijas likuma regulējumu (kas vēl nav stājies spēkā) Ukrainas civiliedzīvotāji šādas tiesības nevarētu īstenot. Līdz ar to likumprojektā ietvertais regulējums ir Ukrainas civiliedzīvotājiem labvēlīgāks, jo tas paredz papildu iespēju saņemt pastāvīgās uzturēšanās atļauju, vienlaikus neierobežojot tiesības pieprasīt uzturēšanās atļauju arī uz citiem Imigrācijas likumā noteiktajiem pamatiem.</w:t>
            </w:r>
          </w:p>
          <w:p w:rsidR="0048589A" w:rsidRPr="0048589A" w:rsidRDefault="0048589A" w:rsidP="0048589A">
            <w:pPr>
              <w:pStyle w:val="isselectedend"/>
              <w:jc w:val="both"/>
            </w:pPr>
            <w:r>
              <w:t>Tāpat l</w:t>
            </w:r>
            <w:r>
              <w:t xml:space="preserve">ikumprojekts </w:t>
            </w:r>
            <w:r>
              <w:t>nenosaka</w:t>
            </w:r>
            <w:r>
              <w:t xml:space="preserve"> institūciju informācijas sniegšanas kārtību. Pilsonības un migrācijas lietu pārvalde jau šobrīd savas kompetences ietvaros nodrošina informācijas pieejamību par uzturēšanās tiesību </w:t>
            </w:r>
            <w:r>
              <w:lastRenderedPageBreak/>
              <w:t>jautājumiem, tai skaitā Ukrainas civiliedzīvotājiem</w:t>
            </w:r>
            <w:r>
              <w:t>. Arī</w:t>
            </w:r>
            <w:r>
              <w:t xml:space="preserve"> likumprojekta regulējums neierobežo kompetento institūciju iespējas arī turpmāk informēt Ukrainas civiliedzīvotājus par uzturēšanās tiesību iespējām</w:t>
            </w:r>
            <w:r>
              <w:t>.</w:t>
            </w:r>
          </w:p>
        </w:tc>
      </w:tr>
      <w:tr w:rsidR="004155AA" w:rsidRPr="004155AA" w:rsidTr="00D26DB7">
        <w:tc>
          <w:tcPr>
            <w:tcW w:w="2263" w:type="dxa"/>
          </w:tcPr>
          <w:p w:rsidR="004155AA" w:rsidRPr="004155AA" w:rsidRDefault="004155AA" w:rsidP="004155AA">
            <w:pPr>
              <w:jc w:val="both"/>
              <w:rPr>
                <w:rFonts w:ascii="Times New Roman" w:hAnsi="Times New Roman" w:cs="Times New Roman"/>
                <w:color w:val="000000" w:themeColor="text1"/>
                <w:sz w:val="24"/>
                <w:szCs w:val="24"/>
              </w:rPr>
            </w:pPr>
            <w:r w:rsidRPr="004155AA">
              <w:rPr>
                <w:rFonts w:ascii="Times New Roman" w:hAnsi="Times New Roman" w:cs="Times New Roman"/>
                <w:color w:val="000000" w:themeColor="text1"/>
                <w:sz w:val="24"/>
                <w:szCs w:val="24"/>
              </w:rPr>
              <w:lastRenderedPageBreak/>
              <w:t>Biedrība "Gribu palīdzēt bēgļiem"</w:t>
            </w:r>
          </w:p>
        </w:tc>
        <w:tc>
          <w:tcPr>
            <w:tcW w:w="7035" w:type="dxa"/>
          </w:tcPr>
          <w:p w:rsidR="004155AA" w:rsidRPr="004155AA" w:rsidRDefault="004155AA" w:rsidP="00D26DB7">
            <w:pPr>
              <w:jc w:val="both"/>
              <w:rPr>
                <w:rFonts w:ascii="Times New Roman" w:hAnsi="Times New Roman" w:cs="Times New Roman"/>
                <w:color w:val="000000" w:themeColor="text1"/>
                <w:sz w:val="24"/>
                <w:szCs w:val="24"/>
              </w:rPr>
            </w:pPr>
            <w:r w:rsidRPr="004155AA">
              <w:rPr>
                <w:rFonts w:ascii="Times New Roman" w:hAnsi="Times New Roman" w:cs="Times New Roman"/>
                <w:sz w:val="24"/>
                <w:szCs w:val="24"/>
                <w:shd w:val="clear" w:color="auto" w:fill="FFFFFF"/>
              </w:rPr>
              <w:t>Aicinām 3. panta sesto daļu "Pastāvīgās uzturēšanās atļauju piešķir saskaņā ar Imigrācijas likuma 30. pantā noteikto, nepārtrauktās uzturēšanās laikā ieskaitot laiku, ko Ukrainas civiliedzīvotājs uzturējies Latvijas Republikā uz šajā likumā noteiktās ilgtermiņa vīzas vai uzturēšanās atļaujas pamata, nepiemērojot Imigrācijas likuma 34. panta 7. punktā noteikto pastāvīgās uzturēšanās atļaujas atteikuma iemeslu" papildināt ar “un nepiemērojot Imigrācijas likuma 30. panta pirmās daļas 1. un 3. punktā  norādītos nosacījumus”.</w:t>
            </w:r>
            <w:r w:rsidRPr="004155AA">
              <w:rPr>
                <w:rFonts w:ascii="Times New Roman" w:hAnsi="Times New Roman" w:cs="Times New Roman"/>
                <w:sz w:val="24"/>
                <w:szCs w:val="24"/>
              </w:rPr>
              <w:br/>
            </w:r>
            <w:r w:rsidRPr="004155AA">
              <w:rPr>
                <w:rFonts w:ascii="Times New Roman" w:hAnsi="Times New Roman" w:cs="Times New Roman"/>
                <w:sz w:val="24"/>
                <w:szCs w:val="24"/>
              </w:rPr>
              <w:br/>
            </w:r>
            <w:r w:rsidRPr="004155AA">
              <w:rPr>
                <w:rFonts w:ascii="Times New Roman" w:hAnsi="Times New Roman" w:cs="Times New Roman"/>
                <w:sz w:val="24"/>
                <w:szCs w:val="24"/>
                <w:shd w:val="clear" w:color="auto" w:fill="FFFFFF"/>
              </w:rPr>
              <w:t>Pamatojums:</w:t>
            </w:r>
            <w:r w:rsidRPr="004155AA">
              <w:rPr>
                <w:rFonts w:ascii="Times New Roman" w:hAnsi="Times New Roman" w:cs="Times New Roman"/>
                <w:sz w:val="24"/>
                <w:szCs w:val="24"/>
              </w:rPr>
              <w:br/>
            </w:r>
            <w:r w:rsidRPr="004155AA">
              <w:rPr>
                <w:rFonts w:ascii="Times New Roman" w:hAnsi="Times New Roman" w:cs="Times New Roman"/>
                <w:sz w:val="24"/>
                <w:szCs w:val="24"/>
                <w:shd w:val="clear" w:color="auto" w:fill="FFFFFF"/>
              </w:rPr>
              <w:t xml:space="preserve">Tā kā Ukrainas civiliedzīvotāji Latvijā uzturas Krievijas Federācijas sāktā pilna mēroga iebrukuma dēļ, viņu spējas ilgtermiņā plānot savu palikšanu un integrāciju Latvijā ir bijušas ierobežotas kara </w:t>
            </w:r>
            <w:proofErr w:type="spellStart"/>
            <w:r w:rsidRPr="004155AA">
              <w:rPr>
                <w:rFonts w:ascii="Times New Roman" w:hAnsi="Times New Roman" w:cs="Times New Roman"/>
                <w:sz w:val="24"/>
                <w:szCs w:val="24"/>
                <w:shd w:val="clear" w:color="auto" w:fill="FFFFFF"/>
              </w:rPr>
              <w:t>neprognozējamības</w:t>
            </w:r>
            <w:proofErr w:type="spellEnd"/>
            <w:r w:rsidRPr="004155AA">
              <w:rPr>
                <w:rFonts w:ascii="Times New Roman" w:hAnsi="Times New Roman" w:cs="Times New Roman"/>
                <w:sz w:val="24"/>
                <w:szCs w:val="24"/>
                <w:shd w:val="clear" w:color="auto" w:fill="FFFFFF"/>
              </w:rPr>
              <w:t xml:space="preserve"> dēļ. Sākotnēji arī PMLP un IeM sniegtā informācija par iespēju pagaidu aizsardzības saņēmējiem iegūt pastāvīgās uzturēšanās atļaujas un kritērijiem, kuri būs jāizpilda, nav bijusi skaidra un saskanīga. Papildus jānorāda, ka 30. panta pirmās daļas 3. punkts ir piemērojams tikai tādā gadījumā, ja kultūras un vēstures (tā saukto </w:t>
            </w:r>
            <w:proofErr w:type="spellStart"/>
            <w:r w:rsidRPr="004155AA">
              <w:rPr>
                <w:rFonts w:ascii="Times New Roman" w:hAnsi="Times New Roman" w:cs="Times New Roman"/>
                <w:sz w:val="24"/>
                <w:szCs w:val="24"/>
                <w:shd w:val="clear" w:color="auto" w:fill="FFFFFF"/>
              </w:rPr>
              <w:t>kultūrorientācijas</w:t>
            </w:r>
            <w:proofErr w:type="spellEnd"/>
            <w:r w:rsidRPr="004155AA">
              <w:rPr>
                <w:rFonts w:ascii="Times New Roman" w:hAnsi="Times New Roman" w:cs="Times New Roman"/>
                <w:sz w:val="24"/>
                <w:szCs w:val="24"/>
                <w:shd w:val="clear" w:color="auto" w:fill="FFFFFF"/>
              </w:rPr>
              <w:t xml:space="preserve">) kursi ir pieejami regulāri un prognozējami. Līdz šim tā nav bijis, tāpat kursu pabeigšana līdz šim nav bijusi pamatnosacījums palikšanai, tāpēc aicinām šo punktu nepiemērot attiecībā uz tiem Ukrainas civiliedzīvotājiem, kuriem piecu gadu uzturēšanās termiņš Latvijā iestāsies līdz 2027. gada 4. martam vai kamēr valsts nenodrošina paredzamus, regulārus un visiem pieejamus </w:t>
            </w:r>
            <w:proofErr w:type="spellStart"/>
            <w:r w:rsidRPr="004155AA">
              <w:rPr>
                <w:rFonts w:ascii="Times New Roman" w:hAnsi="Times New Roman" w:cs="Times New Roman"/>
                <w:sz w:val="24"/>
                <w:szCs w:val="24"/>
                <w:shd w:val="clear" w:color="auto" w:fill="FFFFFF"/>
              </w:rPr>
              <w:t>kultūrorientācijas</w:t>
            </w:r>
            <w:proofErr w:type="spellEnd"/>
            <w:r w:rsidRPr="004155AA">
              <w:rPr>
                <w:rFonts w:ascii="Times New Roman" w:hAnsi="Times New Roman" w:cs="Times New Roman"/>
                <w:sz w:val="24"/>
                <w:szCs w:val="24"/>
                <w:shd w:val="clear" w:color="auto" w:fill="FFFFFF"/>
              </w:rPr>
              <w:t xml:space="preserve"> kursus un/vai agrīnās integrācijas programmu.</w:t>
            </w:r>
            <w:r w:rsidRPr="004155AA">
              <w:rPr>
                <w:rFonts w:ascii="Times New Roman" w:hAnsi="Times New Roman" w:cs="Times New Roman"/>
                <w:sz w:val="24"/>
                <w:szCs w:val="24"/>
              </w:rPr>
              <w:br/>
            </w:r>
            <w:r w:rsidRPr="004155AA">
              <w:rPr>
                <w:rFonts w:ascii="Times New Roman" w:hAnsi="Times New Roman" w:cs="Times New Roman"/>
                <w:sz w:val="24"/>
                <w:szCs w:val="24"/>
              </w:rPr>
              <w:br/>
            </w:r>
            <w:r w:rsidRPr="004155AA">
              <w:rPr>
                <w:rFonts w:ascii="Times New Roman" w:hAnsi="Times New Roman" w:cs="Times New Roman"/>
                <w:sz w:val="24"/>
                <w:szCs w:val="24"/>
                <w:shd w:val="clear" w:color="auto" w:fill="FFFFFF"/>
              </w:rPr>
              <w:t xml:space="preserve">Atgādinām, ka Ukrainas civiliedzīvotāji ar pagaidu aizsardzību ir kara bēgļi, kuriem nebija iespēja plānot savu pārvākšanos uz Latviju un </w:t>
            </w:r>
            <w:r w:rsidRPr="009943F3">
              <w:rPr>
                <w:rFonts w:ascii="Times New Roman" w:hAnsi="Times New Roman" w:cs="Times New Roman"/>
                <w:sz w:val="24"/>
                <w:szCs w:val="24"/>
                <w:shd w:val="clear" w:color="auto" w:fill="FFFFFF"/>
              </w:rPr>
              <w:t>nodrošināt augstu iekrājumu līmeni pirms tās veikšanas.</w:t>
            </w:r>
            <w:r w:rsidRPr="004155AA">
              <w:rPr>
                <w:rFonts w:ascii="Times New Roman" w:hAnsi="Times New Roman" w:cs="Times New Roman"/>
                <w:sz w:val="24"/>
                <w:szCs w:val="24"/>
                <w:shd w:val="clear" w:color="auto" w:fill="FFFFFF"/>
              </w:rPr>
              <w:t xml:space="preserve"> Valsts valodas apguves nepieciešamības dēļ arī viņu iespējas ieņemt augsti kvalificētus </w:t>
            </w:r>
            <w:r w:rsidRPr="004155AA">
              <w:rPr>
                <w:rFonts w:ascii="Times New Roman" w:hAnsi="Times New Roman" w:cs="Times New Roman"/>
                <w:sz w:val="24"/>
                <w:szCs w:val="24"/>
                <w:shd w:val="clear" w:color="auto" w:fill="FFFFFF"/>
              </w:rPr>
              <w:lastRenderedPageBreak/>
              <w:t xml:space="preserve">un tādējādi labi apmaksātus amatus ir apgrūtinātas. ANO Bēgļu aģentūras šī gada 23. februārī publicētā pētījumā nodarbinātības līmenis pagaidu aizsardzības saņēmējiem 2025. gadā tika aplēsts 62 % līmenī, kas ir zemāk par vidējo valstī (64,5 %, CSP: https://stat.gov.lv/lv/statistikas-temas/darbs/nodarbinatiba/preses-relizes/26607-nodarbinatiba-un-bezdarbs-2025-gada-4). </w:t>
            </w:r>
            <w:r w:rsidRPr="009943F3">
              <w:rPr>
                <w:rFonts w:ascii="Times New Roman" w:hAnsi="Times New Roman" w:cs="Times New Roman"/>
                <w:sz w:val="24"/>
                <w:szCs w:val="24"/>
                <w:shd w:val="clear" w:color="auto" w:fill="FFFFFF"/>
              </w:rPr>
              <w:t>Pastāv risks, ka tie Ukrainas civiliedzīvotāji, kuri nav nodarbināti, kā arī tie, kuri strādā zemu atalgotās profesijās, nevarēs izpildīt Imigrācijas likuma 30. panta pirmās daļas 1. punkta nosacījumu (“ir pietiekams iztikas līdzekļu nodrošinājums, lai uzturētu sevi un apgādībā esošos ģimenes locekļus”).</w:t>
            </w:r>
            <w:r w:rsidRPr="009943F3">
              <w:rPr>
                <w:rFonts w:ascii="Times New Roman" w:hAnsi="Times New Roman" w:cs="Times New Roman"/>
                <w:sz w:val="24"/>
                <w:szCs w:val="24"/>
              </w:rPr>
              <w:br/>
            </w:r>
            <w:r w:rsidRPr="009943F3">
              <w:rPr>
                <w:rFonts w:ascii="Times New Roman" w:hAnsi="Times New Roman" w:cs="Times New Roman"/>
                <w:sz w:val="24"/>
                <w:szCs w:val="24"/>
              </w:rPr>
              <w:br/>
            </w:r>
            <w:r w:rsidRPr="009943F3">
              <w:rPr>
                <w:rFonts w:ascii="Times New Roman" w:hAnsi="Times New Roman" w:cs="Times New Roman"/>
                <w:sz w:val="24"/>
                <w:szCs w:val="24"/>
                <w:shd w:val="clear" w:color="auto" w:fill="FFFFFF"/>
              </w:rPr>
              <w:t>Vēršam uzmanību arī uz to, ka nav skaidrs, kas notiks ar to pagaidu aizsardzību ieguvušo Ukrainas civiliedzīvotāju grupu, kura nekvalificēsies pastāvīgās uzturēšanās atļaujas saņemšanai un kurai uz šī likuma pamata izsniegtās ilgtermiņa vīzas vai uzturēšanās atļaujas derīguma termiņš beigsies uzreiz pēc 2027. gada 4. marta (ES Pagaidu aizsardzības direktīvas izbeigšanās dienas). Šī neskaidrība pastāv arī attiecībā uz tiem, kuri ieradušies Latvijā vēlāk par 2022. gadu un kuriem piecu gadu nepārtrauktās uzturēšanās periods vēl kādu laiku netiks sasniegts.</w:t>
            </w:r>
            <w:r w:rsidRPr="004155AA">
              <w:rPr>
                <w:rFonts w:ascii="Times New Roman" w:hAnsi="Times New Roman" w:cs="Times New Roman"/>
                <w:sz w:val="24"/>
                <w:szCs w:val="24"/>
              </w:rPr>
              <w:br/>
            </w:r>
            <w:r w:rsidRPr="004155AA">
              <w:rPr>
                <w:rFonts w:ascii="Times New Roman" w:hAnsi="Times New Roman" w:cs="Times New Roman"/>
                <w:sz w:val="24"/>
                <w:szCs w:val="24"/>
              </w:rPr>
              <w:br/>
            </w:r>
            <w:r w:rsidRPr="004155AA">
              <w:rPr>
                <w:rFonts w:ascii="Times New Roman" w:hAnsi="Times New Roman" w:cs="Times New Roman"/>
                <w:sz w:val="24"/>
                <w:szCs w:val="24"/>
              </w:rPr>
              <w:br/>
            </w:r>
            <w:r w:rsidRPr="00A811CC">
              <w:rPr>
                <w:rFonts w:ascii="Times New Roman" w:hAnsi="Times New Roman" w:cs="Times New Roman"/>
                <w:sz w:val="24"/>
                <w:szCs w:val="24"/>
              </w:rPr>
              <w:t>Pastāvīgās uzturēšanās atļaujas iegūšana, izpildot likumprojekta “Imigrācijas likums” (Nr. 56/Lp14) 30. panta pirmajā daļā noteiktos kritērijus, praksē var izrādīties nepieejama lielai daļai Ukrainas civiliedzīvotāju, kuri uzturas Latvijā.</w:t>
            </w:r>
            <w:r w:rsidRPr="004155AA">
              <w:rPr>
                <w:rFonts w:ascii="Times New Roman" w:hAnsi="Times New Roman" w:cs="Times New Roman"/>
                <w:sz w:val="24"/>
                <w:szCs w:val="24"/>
                <w:shd w:val="clear" w:color="auto" w:fill="FFFFFF"/>
              </w:rPr>
              <w:t xml:space="preserve"> Lai nodrošinātu, ka viņiem nenāktos piespiedu kārtā pamest Latviju, aicinām nepiemērot likumprojekta “Imigrācijas likums” (Nr. 56/Lp14) 30. panta pirmās daļas 1. un 3. punktā norādītos nosacījumus Ukrainas </w:t>
            </w:r>
            <w:r w:rsidRPr="004155AA">
              <w:rPr>
                <w:rFonts w:ascii="Times New Roman" w:hAnsi="Times New Roman" w:cs="Times New Roman"/>
                <w:sz w:val="24"/>
                <w:szCs w:val="24"/>
                <w:shd w:val="clear" w:color="auto" w:fill="FFFFFF"/>
              </w:rPr>
              <w:lastRenderedPageBreak/>
              <w:t>civiliedzīvotājiem, kuriem ir piešķirta pagaidu aizsardzība.</w:t>
            </w:r>
            <w:r w:rsidRPr="004155AA">
              <w:rPr>
                <w:rFonts w:ascii="Times New Roman" w:hAnsi="Times New Roman" w:cs="Times New Roman"/>
                <w:sz w:val="24"/>
                <w:szCs w:val="24"/>
              </w:rPr>
              <w:br/>
            </w:r>
            <w:r w:rsidRPr="004155AA">
              <w:rPr>
                <w:rFonts w:ascii="Times New Roman" w:hAnsi="Times New Roman" w:cs="Times New Roman"/>
                <w:sz w:val="24"/>
                <w:szCs w:val="24"/>
              </w:rPr>
              <w:br/>
            </w:r>
            <w:r w:rsidRPr="004155AA">
              <w:rPr>
                <w:rFonts w:ascii="Times New Roman" w:hAnsi="Times New Roman" w:cs="Times New Roman"/>
                <w:sz w:val="24"/>
                <w:szCs w:val="24"/>
                <w:shd w:val="clear" w:color="auto" w:fill="FFFFFF"/>
              </w:rPr>
              <w:t>Ja tas, ka liela daļa Ukrainas civiliedzīvotāju ar piešķirtu pagaidu aizsardzību nevarēs iegūt pastāvīgās uzturēšanās atļaujas, likumdevējam šķiet pieņemami, jānodrošina paredzams un organizēts process, caur kuru šie cilvēki varēs paturēt esošo statusu vai iegūt citu statusu, ja vēlēsies turpināt uzturēties Latvijā. Lai to panāktu, aicinām nodrošināt pagaidu aizsardzības statusa turpinātu pieejamību un ar to saistīto ilgtermiņa vīzu un uzturēšanās atļauju izsniegšanu arī pēc 2027. gada 4. marta. Šāda pieeja novērstu “liela mēroga neregularitāti”, par ko kā potenciālu iznākumu brīdinājusi ANO Bēgļu aģentūra, un sniegtu Ukrainas civiliedzīvotājiem Latvijā skaidrību par nākotni. Nodrošinot turpinātu pagaidu aizsardzību, rastos iespēja plānot tālākus integrācijas soļus (piem., valsts valodas apguvi), sasniegt nepieciešamo nepārtrauktas uzturēšanās laiku (ja tas vēl nav sasniegts) vai plānot atgriešanos Ukrainā. Tādējādi tiktu novērsts arī strukturālās neatbilstības risks starp tām grupām, kuras, visticamāk, paliks Latvijā, un tām pieejamajiem tiesiskajiem statusiem: https://www.refworld.org/reference/repcomp/unhcr/2026/151443</w:t>
            </w:r>
            <w:r w:rsidRPr="004155AA">
              <w:rPr>
                <w:rFonts w:ascii="Times New Roman" w:hAnsi="Times New Roman" w:cs="Times New Roman"/>
                <w:color w:val="525252"/>
                <w:sz w:val="24"/>
                <w:szCs w:val="24"/>
                <w:shd w:val="clear" w:color="auto" w:fill="FFFFFF"/>
              </w:rPr>
              <w:t>.</w:t>
            </w:r>
          </w:p>
        </w:tc>
        <w:tc>
          <w:tcPr>
            <w:tcW w:w="4650" w:type="dxa"/>
          </w:tcPr>
          <w:p w:rsidR="009E149F" w:rsidRDefault="009E149F" w:rsidP="009E149F">
            <w:pPr>
              <w:pStyle w:val="isselectedend"/>
              <w:jc w:val="both"/>
            </w:pPr>
            <w:r>
              <w:lastRenderedPageBreak/>
              <w:t xml:space="preserve">Eiropas Komisija ir rosinājusi Ukrainas civiliedzīvotājiem pagarināt pagaidu aizsardzības statusa piemērošanu līdz 2028. gada 4. martam. Līdz ar to likumprojektā netiek mainīts pašreiz  esošais tiesiskais regulējums attiecībā uz Ukrainas civiliedzīvotāju tiesībām saņemt </w:t>
            </w:r>
            <w:proofErr w:type="spellStart"/>
            <w:r>
              <w:t>termiņuzturēšanās</w:t>
            </w:r>
            <w:proofErr w:type="spellEnd"/>
            <w:r>
              <w:t xml:space="preserve"> atļauju. Likumprojekts paredz papildu iespēju Ukrainas civiliedzīvotājiem, kuri atbilst tiesību aktos noteiktajiem kritērijiem, saņemt pastāvīgās uzturēšanās atļauju. Tādējādi likumprojekts paplašina Ukrainas civiliedzīvotājiem pieejamās uzturēšanās iespējas, nevis sašaurina līdzšinējas tiesības. </w:t>
            </w:r>
            <w:r w:rsidRPr="0048589A">
              <w:t>Tāpat likumprojekts neizslēdz Ukrainas civiliedzīvotājiem iespēju pieprasīt uzturēšanās atļauju arī uz citiem Imigrācijas likumā noteiktajiem pamatiem, ja tiek izpildīti noteiktie nosacījumi.</w:t>
            </w:r>
          </w:p>
          <w:p w:rsidR="009943F3" w:rsidRDefault="009943F3" w:rsidP="009E149F">
            <w:pPr>
              <w:pStyle w:val="isselectedend"/>
              <w:jc w:val="both"/>
            </w:pPr>
            <w:r>
              <w:t>Ņemams vērā</w:t>
            </w:r>
            <w:r w:rsidR="00FA2273">
              <w:t xml:space="preserve"> arī tas</w:t>
            </w:r>
            <w:r>
              <w:t>, ka</w:t>
            </w:r>
            <w:r w:rsidR="00117E62">
              <w:t xml:space="preserve"> </w:t>
            </w:r>
            <w:r>
              <w:t>likumprojektā paredzētā</w:t>
            </w:r>
            <w:r w:rsidR="00117E62">
              <w:t>s tiesības</w:t>
            </w:r>
            <w:r>
              <w:t xml:space="preserve"> pieprasīt pastāvīgās uzturēšanās atļauju ir attiecināma uz tiem Ukrainas civiliedzīvotājiem, kuri Latvijas Republikā ir nepārtraukti uzturējušies vismaz piecus gadus. Šādu uzturēšanās periodu nevar</w:t>
            </w:r>
            <w:r w:rsidR="00117E62">
              <w:t>ētu</w:t>
            </w:r>
            <w:r>
              <w:t xml:space="preserve"> uzskatīt par īslaicīgu. </w:t>
            </w:r>
            <w:r w:rsidR="00117E62">
              <w:t>Līdz ar to l</w:t>
            </w:r>
            <w:r>
              <w:t xml:space="preserve">ēmums pieprasīt pastāvīgās uzturēšanās atļauju </w:t>
            </w:r>
            <w:r w:rsidR="00117E62">
              <w:t xml:space="preserve">tomēr </w:t>
            </w:r>
            <w:r w:rsidR="00FA2273">
              <w:t>liecina par</w:t>
            </w:r>
            <w:r>
              <w:t xml:space="preserve"> </w:t>
            </w:r>
            <w:r w:rsidR="00117E62">
              <w:t xml:space="preserve">Ukrainas </w:t>
            </w:r>
            <w:r w:rsidR="00117E62">
              <w:lastRenderedPageBreak/>
              <w:t>civiliedzīvotāja</w:t>
            </w:r>
            <w:r>
              <w:t xml:space="preserve"> </w:t>
            </w:r>
            <w:r w:rsidR="00FA2273">
              <w:t>vēlmi</w:t>
            </w:r>
            <w:bookmarkStart w:id="0" w:name="_GoBack"/>
            <w:bookmarkEnd w:id="0"/>
            <w:r>
              <w:t xml:space="preserve"> ilgtermiņā saistīt savu dzīvi ar Latvijas Republiku. Līdz ar to ir pamatoti, ka uz pastāvīgās uzturēšanās atļaujas saņemšanu </w:t>
            </w:r>
            <w:r w:rsidR="00117E62">
              <w:t>ir attiecināmi</w:t>
            </w:r>
            <w:r>
              <w:t xml:space="preserve"> Imigrācijas likumā noteiktie nosacījumi, kas raksturo </w:t>
            </w:r>
            <w:r w:rsidR="00117E62">
              <w:t>ārzemnieka</w:t>
            </w:r>
            <w:r>
              <w:t xml:space="preserve"> saikni ar </w:t>
            </w:r>
            <w:r w:rsidR="00117E62">
              <w:t>Latvijas Republiku</w:t>
            </w:r>
            <w:r>
              <w:t>, tostarp prasības attiecībā uz valsts valodas zināšanām, integrāciju un spēju nodrošināt sev iztikas līdzekļus.</w:t>
            </w:r>
          </w:p>
          <w:p w:rsidR="004155AA" w:rsidRPr="004155AA" w:rsidRDefault="004155AA" w:rsidP="00D26DB7">
            <w:pPr>
              <w:jc w:val="both"/>
              <w:rPr>
                <w:rFonts w:ascii="Times New Roman" w:hAnsi="Times New Roman" w:cs="Times New Roman"/>
                <w:color w:val="000000" w:themeColor="text1"/>
                <w:sz w:val="24"/>
                <w:szCs w:val="24"/>
              </w:rPr>
            </w:pPr>
          </w:p>
        </w:tc>
      </w:tr>
    </w:tbl>
    <w:p w:rsidR="00D26DB7" w:rsidRPr="004155AA" w:rsidRDefault="00D26DB7" w:rsidP="004155AA">
      <w:pPr>
        <w:spacing w:after="0" w:line="240" w:lineRule="auto"/>
        <w:jc w:val="both"/>
        <w:rPr>
          <w:rFonts w:ascii="Times New Roman" w:hAnsi="Times New Roman" w:cs="Times New Roman"/>
          <w:color w:val="000000" w:themeColor="text1"/>
          <w:sz w:val="24"/>
          <w:szCs w:val="24"/>
        </w:rPr>
      </w:pPr>
    </w:p>
    <w:sectPr w:rsidR="00D26DB7" w:rsidRPr="004155AA" w:rsidSect="00D26DB7">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1B17" w:rsidRDefault="00211B17" w:rsidP="00D26DB7">
      <w:pPr>
        <w:spacing w:after="0" w:line="240" w:lineRule="auto"/>
      </w:pPr>
      <w:r>
        <w:separator/>
      </w:r>
    </w:p>
  </w:endnote>
  <w:endnote w:type="continuationSeparator" w:id="0">
    <w:p w:rsidR="00211B17" w:rsidRDefault="00211B17" w:rsidP="00D26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1B17" w:rsidRDefault="00211B17" w:rsidP="00D26DB7">
      <w:pPr>
        <w:spacing w:after="0" w:line="240" w:lineRule="auto"/>
      </w:pPr>
      <w:r>
        <w:separator/>
      </w:r>
    </w:p>
  </w:footnote>
  <w:footnote w:type="continuationSeparator" w:id="0">
    <w:p w:rsidR="00211B17" w:rsidRDefault="00211B17" w:rsidP="00D26DB7">
      <w:pPr>
        <w:spacing w:after="0" w:line="240" w:lineRule="auto"/>
      </w:pPr>
      <w:r>
        <w:continuationSeparator/>
      </w:r>
    </w:p>
  </w:footnote>
  <w:footnote w:id="1">
    <w:p w:rsidR="00D26DB7" w:rsidRDefault="00D26DB7" w:rsidP="00D26DB7">
      <w:pPr>
        <w:pStyle w:val="FootnoteText"/>
      </w:pPr>
      <w:r>
        <w:rPr>
          <w:rStyle w:val="FootnoteReference"/>
        </w:rPr>
        <w:footnoteRef/>
      </w:r>
      <w:r>
        <w:t xml:space="preserve"> Council of the European Union (2025). Council Recommendation on a coordinated approach to the transition out of temporary protection for displaced persons from Ukraine. </w:t>
      </w:r>
      <w:proofErr w:type="spellStart"/>
      <w:r>
        <w:t>Pieejams</w:t>
      </w:r>
      <w:proofErr w:type="spellEnd"/>
      <w:r>
        <w:t xml:space="preserve">: </w:t>
      </w:r>
      <w:hyperlink r:id="rId1" w:history="1">
        <w:r w:rsidRPr="00997CA1">
          <w:rPr>
            <w:rStyle w:val="Hyperlink"/>
          </w:rPr>
          <w:t>https://data.consilium.europa.eu/doc/document/ST-12015-2025-INIT/en/pdf</w:t>
        </w:r>
      </w:hyperlink>
      <w:r>
        <w:t xml:space="preserve"> </w:t>
      </w:r>
    </w:p>
  </w:footnote>
  <w:footnote w:id="2">
    <w:p w:rsidR="00D26DB7" w:rsidRDefault="00D26DB7" w:rsidP="00D26DB7">
      <w:pPr>
        <w:pStyle w:val="FootnoteText"/>
      </w:pPr>
      <w:r>
        <w:rPr>
          <w:rStyle w:val="FootnoteReference"/>
        </w:rPr>
        <w:footnoteRef/>
      </w:r>
      <w:r>
        <w:t xml:space="preserve"> </w:t>
      </w:r>
      <w:proofErr w:type="spellStart"/>
      <w:r>
        <w:t>Turpat</w:t>
      </w:r>
      <w:proofErr w:type="spellEnd"/>
      <w:r>
        <w:t xml:space="preserve">. </w:t>
      </w:r>
    </w:p>
  </w:footnote>
  <w:footnote w:id="3">
    <w:p w:rsidR="00D26DB7" w:rsidRDefault="00D26DB7" w:rsidP="00D26DB7">
      <w:pPr>
        <w:pStyle w:val="FootnoteText"/>
      </w:pPr>
      <w:r>
        <w:rPr>
          <w:rStyle w:val="FootnoteReference"/>
        </w:rPr>
        <w:footnoteRef/>
      </w:r>
      <w:r>
        <w:t xml:space="preserve"> </w:t>
      </w:r>
      <w:r w:rsidRPr="000C5391">
        <w:rPr>
          <w:lang w:val="lv-LV"/>
        </w:rPr>
        <w:t xml:space="preserve">Informācija par darba ņēmēju- Ukrainas civiliedzīvotāju skaitu, to ienākumiem no 2022. gada aprīļa līdz 2026. gada janvārim. Izgūts no: </w:t>
      </w:r>
      <w:proofErr w:type="spellStart"/>
      <w:r w:rsidRPr="000C5391">
        <w:rPr>
          <w:lang w:val="lv-LV"/>
        </w:rPr>
        <w:t>Iekšlietu</w:t>
      </w:r>
      <w:proofErr w:type="spellEnd"/>
      <w:r w:rsidRPr="000C5391">
        <w:rPr>
          <w:lang w:val="lv-LV"/>
        </w:rPr>
        <w:t xml:space="preserve"> ministrija (2026). Par aktuālo situāciju atbalsta sniegšanā Ukrainas civiliedzīvotājiem. Pieejams: </w:t>
      </w:r>
      <w:hyperlink r:id="rId2" w:history="1">
        <w:r w:rsidRPr="000C5391">
          <w:rPr>
            <w:rStyle w:val="Hyperlink"/>
            <w:lang w:val="lv-LV"/>
          </w:rPr>
          <w:t>https://tapportals.mk.gov.lv/legal_acts/b799a768-ef79-458e-b8f9-f825e468bed9#</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364AD"/>
    <w:multiLevelType w:val="hybridMultilevel"/>
    <w:tmpl w:val="AE8C9F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64C1EFF"/>
    <w:multiLevelType w:val="hybridMultilevel"/>
    <w:tmpl w:val="8E54A5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DB7"/>
    <w:rsid w:val="0009070B"/>
    <w:rsid w:val="000960EA"/>
    <w:rsid w:val="00117E62"/>
    <w:rsid w:val="00211B17"/>
    <w:rsid w:val="0031512E"/>
    <w:rsid w:val="004155AA"/>
    <w:rsid w:val="0048589A"/>
    <w:rsid w:val="004D271D"/>
    <w:rsid w:val="0053554C"/>
    <w:rsid w:val="006175EB"/>
    <w:rsid w:val="006A0B44"/>
    <w:rsid w:val="00816D39"/>
    <w:rsid w:val="008A7307"/>
    <w:rsid w:val="009943F3"/>
    <w:rsid w:val="009E149F"/>
    <w:rsid w:val="00A811CC"/>
    <w:rsid w:val="00D26DB7"/>
    <w:rsid w:val="00D5401B"/>
    <w:rsid w:val="00FA22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88D99"/>
  <w15:chartTrackingRefBased/>
  <w15:docId w15:val="{8FEED7CC-8C6F-461E-873A-63EFBD658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6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ayt-misspell-word">
    <w:name w:val="scayt-misspell-word"/>
    <w:basedOn w:val="DefaultParagraphFont"/>
    <w:rsid w:val="00D26DB7"/>
  </w:style>
  <w:style w:type="character" w:styleId="Hyperlink">
    <w:name w:val="Hyperlink"/>
    <w:basedOn w:val="DefaultParagraphFont"/>
    <w:uiPriority w:val="99"/>
    <w:unhideWhenUsed/>
    <w:rsid w:val="00D26DB7"/>
    <w:rPr>
      <w:color w:val="0563C1" w:themeColor="hyperlink"/>
      <w:u w:val="single"/>
    </w:rPr>
  </w:style>
  <w:style w:type="paragraph" w:styleId="FootnoteText">
    <w:name w:val="footnote text"/>
    <w:basedOn w:val="Normal"/>
    <w:link w:val="FootnoteTextChar"/>
    <w:uiPriority w:val="99"/>
    <w:semiHidden/>
    <w:unhideWhenUsed/>
    <w:rsid w:val="00D26DB7"/>
    <w:pPr>
      <w:spacing w:after="0" w:line="240" w:lineRule="auto"/>
    </w:pPr>
    <w:rPr>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D26DB7"/>
    <w:rPr>
      <w:kern w:val="2"/>
      <w:sz w:val="20"/>
      <w:szCs w:val="20"/>
      <w:lang w:val="en-US"/>
      <w14:ligatures w14:val="standardContextual"/>
    </w:rPr>
  </w:style>
  <w:style w:type="character" w:styleId="FootnoteReference">
    <w:name w:val="footnote reference"/>
    <w:basedOn w:val="DefaultParagraphFont"/>
    <w:uiPriority w:val="99"/>
    <w:semiHidden/>
    <w:unhideWhenUsed/>
    <w:rsid w:val="00D26DB7"/>
    <w:rPr>
      <w:vertAlign w:val="superscript"/>
    </w:rPr>
  </w:style>
  <w:style w:type="paragraph" w:styleId="ListParagraph">
    <w:name w:val="List Paragraph"/>
    <w:basedOn w:val="Normal"/>
    <w:uiPriority w:val="34"/>
    <w:qFormat/>
    <w:rsid w:val="006175EB"/>
    <w:pPr>
      <w:ind w:left="720"/>
      <w:contextualSpacing/>
    </w:pPr>
  </w:style>
  <w:style w:type="paragraph" w:customStyle="1" w:styleId="isselectedend">
    <w:name w:val="isselectedend"/>
    <w:basedOn w:val="Normal"/>
    <w:rsid w:val="0031512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31512E"/>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022603">
      <w:bodyDiv w:val="1"/>
      <w:marLeft w:val="0"/>
      <w:marRight w:val="0"/>
      <w:marTop w:val="0"/>
      <w:marBottom w:val="0"/>
      <w:divBdr>
        <w:top w:val="none" w:sz="0" w:space="0" w:color="auto"/>
        <w:left w:val="none" w:sz="0" w:space="0" w:color="auto"/>
        <w:bottom w:val="none" w:sz="0" w:space="0" w:color="auto"/>
        <w:right w:val="none" w:sz="0" w:space="0" w:color="auto"/>
      </w:divBdr>
    </w:div>
    <w:div w:id="104598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tapportals.mk.gov.lv/legal_acts/b799a768-ef79-458e-b8f9-f825e468bed9" TargetMode="External"/><Relationship Id="rId1" Type="http://schemas.openxmlformats.org/officeDocument/2006/relationships/hyperlink" Target="https://data.consilium.europa.eu/doc/document/ST-12015-2025-INIT/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7</Pages>
  <Words>9235</Words>
  <Characters>5265</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Radzeviča</dc:creator>
  <cp:keywords/>
  <dc:description/>
  <cp:lastModifiedBy>Dace Radzeviča</cp:lastModifiedBy>
  <cp:revision>5</cp:revision>
  <dcterms:created xsi:type="dcterms:W3CDTF">2026-06-30T10:40:00Z</dcterms:created>
  <dcterms:modified xsi:type="dcterms:W3CDTF">2026-06-30T12:47:00Z</dcterms:modified>
</cp:coreProperties>
</file>