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51714D" w14:textId="7C6A8C4A" w:rsidR="001C661F" w:rsidRDefault="00B165E3">
      <w:pPr>
        <w:spacing w:after="240"/>
        <w:jc w:val="center"/>
        <w:rPr>
          <w:b/>
        </w:rPr>
      </w:pPr>
      <w:bookmarkStart w:id="0" w:name="OLE_LINK53"/>
      <w:r>
        <w:rPr>
          <w:b/>
        </w:rPr>
        <w:t>“Publiskās apspriešanas laikā 02.09.2025. - 16.09.2025. saņemto viedokļu, priekšlikumu un iebildumu apkopojums par Grozījumi Ministru kabineta 2021. gada 1. aprīļa noteikumos Nr</w:t>
      </w:r>
      <w:r w:rsidR="00530FA8">
        <w:rPr>
          <w:b/>
        </w:rPr>
        <w:t>.</w:t>
      </w:r>
      <w:r>
        <w:rPr>
          <w:b/>
        </w:rPr>
        <w:t>199</w:t>
      </w:r>
      <w:r w:rsidR="00530FA8">
        <w:rPr>
          <w:b/>
        </w:rPr>
        <w:t xml:space="preserve"> “</w:t>
      </w:r>
      <w:r>
        <w:rPr>
          <w:b/>
        </w:rPr>
        <w:t>Valsts uzraudzībā esošās dzīvnieku infekcijas slimības vai epizootijas uzliesmojuma laikā radušos zaudējumu kompensācijas noteikumi”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1C661F" w14:paraId="2E630C67" w14:textId="77777777">
        <w:tc>
          <w:tcPr>
            <w:tcW w:w="750" w:type="dxa"/>
            <w:shd w:val="clear" w:color="auto" w:fill="FFFFFF"/>
            <w:noWrap/>
            <w:tcMar>
              <w:top w:w="75" w:type="dxa"/>
              <w:left w:w="75" w:type="dxa"/>
              <w:bottom w:w="75" w:type="dxa"/>
              <w:right w:w="75" w:type="dxa"/>
            </w:tcMar>
            <w:vAlign w:val="center"/>
          </w:tcPr>
          <w:bookmarkEnd w:id="0"/>
          <w:p w14:paraId="4E74541D" w14:textId="77777777" w:rsidR="001C661F" w:rsidRDefault="00B165E3">
            <w:pPr>
              <w:jc w:val="center"/>
            </w:pPr>
            <w:r>
              <w:rPr>
                <w:b/>
              </w:rPr>
              <w:t>Nr.p.k.</w:t>
            </w:r>
          </w:p>
        </w:tc>
        <w:tc>
          <w:tcPr>
            <w:tcW w:w="4055" w:type="dxa"/>
            <w:shd w:val="clear" w:color="auto" w:fill="FFFFFF"/>
            <w:noWrap/>
            <w:tcMar>
              <w:top w:w="75" w:type="dxa"/>
              <w:left w:w="75" w:type="dxa"/>
              <w:bottom w:w="75" w:type="dxa"/>
              <w:right w:w="75" w:type="dxa"/>
            </w:tcMar>
            <w:vAlign w:val="center"/>
          </w:tcPr>
          <w:p w14:paraId="5FCBBEC4" w14:textId="77777777" w:rsidR="001C661F" w:rsidRDefault="00B165E3">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6624410" w14:textId="77777777" w:rsidR="001C661F" w:rsidRDefault="00B165E3">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2D9F201" w14:textId="77777777" w:rsidR="001C661F" w:rsidRDefault="00B165E3">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E25E230" w14:textId="77777777" w:rsidR="001C661F" w:rsidRDefault="00B165E3">
            <w:pPr>
              <w:jc w:val="center"/>
            </w:pPr>
            <w:r>
              <w:rPr>
                <w:b/>
              </w:rPr>
              <w:t>Skaidrojums, kādā veidā viedoklis / priekšlikums / iebildums ir ņemts vērā vai ņemts vērā daļēji, vai pamatojums, ja viedoklis / priekšlikums / iebildums nav ņemts vērā</w:t>
            </w:r>
          </w:p>
        </w:tc>
      </w:tr>
      <w:tr w:rsidR="001C661F" w14:paraId="14C808C6" w14:textId="77777777">
        <w:tc>
          <w:tcPr>
            <w:tcW w:w="750" w:type="dxa"/>
            <w:shd w:val="clear" w:color="auto" w:fill="FFFFFF"/>
            <w:noWrap/>
            <w:tcMar>
              <w:top w:w="75" w:type="dxa"/>
              <w:left w:w="75" w:type="dxa"/>
              <w:bottom w:w="75" w:type="dxa"/>
              <w:right w:w="75" w:type="dxa"/>
            </w:tcMar>
            <w:vAlign w:val="center"/>
          </w:tcPr>
          <w:p w14:paraId="28DF9167" w14:textId="77777777" w:rsidR="001C661F" w:rsidRDefault="00B165E3">
            <w:pPr>
              <w:jc w:val="center"/>
            </w:pPr>
            <w:r>
              <w:t>1.</w:t>
            </w:r>
          </w:p>
        </w:tc>
        <w:tc>
          <w:tcPr>
            <w:tcW w:w="4055" w:type="dxa"/>
            <w:shd w:val="clear" w:color="auto" w:fill="FFFFFF"/>
            <w:noWrap/>
            <w:tcMar>
              <w:top w:w="75" w:type="dxa"/>
              <w:left w:w="75" w:type="dxa"/>
              <w:bottom w:w="75" w:type="dxa"/>
              <w:right w:w="75" w:type="dxa"/>
            </w:tcMar>
            <w:vAlign w:val="center"/>
          </w:tcPr>
          <w:p w14:paraId="23D9E8EC" w14:textId="77777777" w:rsidR="001C661F" w:rsidRDefault="00B165E3">
            <w:pPr>
              <w:jc w:val="left"/>
            </w:pPr>
            <w:r>
              <w:t>Biedrība "Latvijas Biškopības biedrība", Līga Lapiņa</w:t>
            </w:r>
          </w:p>
        </w:tc>
        <w:tc>
          <w:tcPr>
            <w:tcW w:w="4056" w:type="dxa"/>
            <w:shd w:val="clear" w:color="auto" w:fill="FFFFFF"/>
            <w:noWrap/>
            <w:tcMar>
              <w:top w:w="75" w:type="dxa"/>
              <w:left w:w="75" w:type="dxa"/>
              <w:bottom w:w="75" w:type="dxa"/>
              <w:right w:w="75" w:type="dxa"/>
            </w:tcMar>
            <w:vAlign w:val="center"/>
          </w:tcPr>
          <w:p w14:paraId="79C96AAA" w14:textId="77777777" w:rsidR="001C661F" w:rsidRDefault="00B165E3">
            <w:pPr>
              <w:jc w:val="left"/>
            </w:pPr>
            <w:r>
              <w:t>Par noteikumu projektu un anotāciju</w:t>
            </w:r>
            <w:r>
              <w:br/>
            </w:r>
            <w:r>
              <w:br/>
              <w:t>Lūdzu papildināt noteikumu projektu ar jaunu apakšpunktu, ka Amerikas peru puves radīto zaudējumu kompensāciju var saņemt arī par veikto dezinfekciju saskaņā ar normatīvo aktu par Amerikas peru puves uzraudzības, kontroles un apkarošanas kārtību.</w:t>
            </w:r>
            <w:r>
              <w:br/>
              <w:t xml:space="preserve">Saskaņā ar Ministru kabineta 2014. gada 23. decembra noteikumiem Nr. 809 “Amerikas peru puves uzraudzības, kontroles un apkarošanas kārtība” (27.1.4., </w:t>
            </w:r>
            <w:r>
              <w:lastRenderedPageBreak/>
              <w:t>27.2 apakšpunktu, 38.4. ) bišu saimes īpašnieks vai turētājs veic stropa un inventāra dezinfekciju (nevis iznīcina stropus) tādās situācijās, ja atkārtoti saņemts pozitīvs laboratorisko izmeklējumu rezultāts, bet bišu saimei nenovēro Amerikas peru puves klīniskās pazīmes.</w:t>
            </w:r>
            <w:r>
              <w:br/>
              <w:t>Bišu stropu, kurā atradās slimā bišu saime, biškopībā izmantotos instrumentus un traukus dezinficē, izmantojot līdzekļus un metodes, kas nodrošina Amerikas peru puves ierosinātāju un to sporu iznīcināšanu. Ja bišu strops, kurā atradās slimā bišu saime, ir bojāts un dezinfekcijai nav piemērots, tad to likvidē, izmantojot metodes, kas nodrošina Amerikas peru puves ierosinātāju un to sporu iznīcināšanu.</w:t>
            </w:r>
            <w:r>
              <w:br/>
            </w:r>
            <w:r>
              <w:br/>
              <w:t xml:space="preserve">Aicinām papildināt anotāciju un paskaidrot par noteikumu projekta 2.punktu, piemēram, kur lauksaimnieki var atrast Pārtikas un veterinārā dienesta (PVD) </w:t>
            </w:r>
            <w:r>
              <w:lastRenderedPageBreak/>
              <w:t>apstiprinātu infekcijas slimības kontroles, uzraudzības un izskaušanas programmu (programmas), lai saprastu, vai dzīvnieku slimības gadījums, kurš lauksaimniekam ir radījis zaudējumus, ir valsts uzraudzībā esošās dzīvnieku infekcijas slimība, pēc kuras uzliesmojuma ir tiesības saņemt zaudējumu kompensāciju.</w:t>
            </w:r>
            <w:r>
              <w:br/>
              <w:t>Noteikumu projekta tekstam ir jābūt skaidram un nepārprotamam. Piemēram, lasot noteikumu projekta 2.punktu, kā arī anotāciju nav saprotams, kas ir PVD apstiprināta infekcijas slimības kontroles, uzraudzības un izskaušanas programma (vai programmas)? Kur tās var atrast PVD mājaslapā?</w:t>
            </w:r>
            <w:r>
              <w:br/>
              <w:t xml:space="preserve">Piemēram, izmantojot digitālos meklēšanas rīkus un meklējot “PVD apstiprinātu infekcijas slimības kontroles, uzraudzības un izskaušanas programmu”, PVD mājaslapā tiek atrasti dažādi dokumenti, tādi plāni kā </w:t>
            </w:r>
            <w:r>
              <w:lastRenderedPageBreak/>
              <w:t>Dzīvnieku infekcijas slimību valsts uzraudzības 2024. gada plāns, Dzīvnieku infekcijas slimību valsts uzraudzības 2025. gada plāns. Meklēšanas rīks piedāvā skatīt ari PVD mājaslapas sadaļu “Dzīvnieku infekcijas slimību valsts uzraudzību reglamentējošie dokumenti”, kuros ir dažādas programmas ar dažādiem nosaukumiem, kā rezultātā nerodas skaidrības, vai šie dokumenti ir vai nav “PVD apstiprināta infekcijas slimības kontroles, uzraudzības un izskaušanas programma” (programmas), kas ir norādīta noteikumu projekta 2.punktā?</w:t>
            </w:r>
            <w:r>
              <w:br/>
              <w:t xml:space="preserve">Tāpat nav saprotams, vai tādas infekcijas slimības kā mazā stropu vabole (Aethina tumida) un tropilelapsoze (Tropilaelaps) ir tādas infekcijas slimības, kuru uzliesmojuma gadījumā būs tiesības saņemt zaudējumu kompensāciju. Saskaņā ar Ministru kabineta 2012.gada 21.februāra noteikumu Nr.127 </w:t>
            </w:r>
            <w:r>
              <w:lastRenderedPageBreak/>
              <w:t>“Noteikumi par ziņojamām, reģistrējamām un valsts uzraudzībā esošām dzīvnieku infekcijas slimībām un kārtību, kādā par tām sniedzama informācija Pārtikas un veterinārajam dienestam” 1.pielikumā ir uzskaitītas šīs infekciju slimības - mazā stropu vabole (Aethina tumida) un tropilelapsoze (Tropilaelaps spp.), par kurām ir jāziņo. Šīs ir nopietnas infekciju slimības, kuru uzliesmojuma gadījumā biškopim var rasties lieli zaudējumi, tāpēc noteikumu projektā ir jāparedz zaudējumu kompensācija. Piemēram, sakarā ar Tropilaelaps ērces spēju izdzīvot un vairoties uz parastās medus bites (Apis mellifera), kā arī augsto pārnešanas risku migrējošās biškopības un bišu krājumu un aprīkojuma tirdzniecības ceļā, tālāka izplatība uz citām Eiropas valstīm rada nopietnas bažas.</w:t>
            </w:r>
            <w:r>
              <w:br/>
            </w:r>
          </w:p>
        </w:tc>
        <w:tc>
          <w:tcPr>
            <w:tcW w:w="1650" w:type="dxa"/>
            <w:shd w:val="clear" w:color="auto" w:fill="FFFFFF"/>
            <w:noWrap/>
            <w:tcMar>
              <w:top w:w="75" w:type="dxa"/>
              <w:left w:w="75" w:type="dxa"/>
              <w:bottom w:w="75" w:type="dxa"/>
              <w:right w:w="75" w:type="dxa"/>
            </w:tcMar>
            <w:vAlign w:val="center"/>
          </w:tcPr>
          <w:p w14:paraId="3F0E0028" w14:textId="65DBEEB4" w:rsidR="001C661F" w:rsidRDefault="00081862">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1728D6E0" w14:textId="39A1C81C" w:rsidR="001C661F" w:rsidRDefault="00081862">
            <w:pPr>
              <w:jc w:val="left"/>
            </w:pPr>
            <w:r w:rsidRPr="00081862">
              <w:t xml:space="preserve">Precizēta </w:t>
            </w:r>
            <w:r>
              <w:t xml:space="preserve">Ministru kabineta </w:t>
            </w:r>
            <w:r w:rsidRPr="00081862">
              <w:t>2021. gada 1. aprī</w:t>
            </w:r>
            <w:r>
              <w:t xml:space="preserve">ļa </w:t>
            </w:r>
            <w:r w:rsidRPr="00081862">
              <w:t>noteikum</w:t>
            </w:r>
            <w:r>
              <w:t>u</w:t>
            </w:r>
            <w:r w:rsidRPr="00081862">
              <w:t xml:space="preserve"> Nr. 199</w:t>
            </w:r>
            <w:r>
              <w:t xml:space="preserve"> “</w:t>
            </w:r>
            <w:r w:rsidRPr="00081862">
              <w:t>Valsts uzraudzībā esošās dzīvnieku infekcijas slimības vai epizootijas uzliesmojuma laikā radušos zaudējumu kompensācijas noteikumi</w:t>
            </w:r>
            <w:r>
              <w:t xml:space="preserve">” (turpmāk – </w:t>
            </w:r>
            <w:bookmarkStart w:id="1" w:name="OLE_LINK3"/>
            <w:r>
              <w:t>MK noteikumi Nr.199</w:t>
            </w:r>
            <w:bookmarkEnd w:id="1"/>
            <w:r>
              <w:t>) 3.punkta r</w:t>
            </w:r>
            <w:r w:rsidRPr="00081862">
              <w:t>edakcija</w:t>
            </w:r>
            <w:r>
              <w:t xml:space="preserve"> </w:t>
            </w:r>
            <w:bookmarkStart w:id="2" w:name="OLE_LINK4"/>
            <w:r>
              <w:t xml:space="preserve">(MK noteikumu </w:t>
            </w:r>
            <w:r w:rsidRPr="00081862">
              <w:t>projekta 2.punkt</w:t>
            </w:r>
            <w:r>
              <w:t>s)</w:t>
            </w:r>
            <w:bookmarkEnd w:id="2"/>
            <w:r w:rsidRPr="00081862">
              <w:t>.</w:t>
            </w:r>
            <w:r>
              <w:t xml:space="preserve"> </w:t>
            </w:r>
            <w:r w:rsidRPr="00081862">
              <w:t>P</w:t>
            </w:r>
            <w:r>
              <w:t>apildināt</w:t>
            </w:r>
            <w:r w:rsidR="00B165E3">
              <w:t>s</w:t>
            </w:r>
            <w:r>
              <w:t xml:space="preserve"> </w:t>
            </w:r>
            <w:r w:rsidRPr="00081862">
              <w:t>MK noteikum</w:t>
            </w:r>
            <w:r w:rsidR="00B165E3">
              <w:t>u</w:t>
            </w:r>
            <w:r w:rsidRPr="00081862">
              <w:t xml:space="preserve"> Nr.199</w:t>
            </w:r>
            <w:r>
              <w:t xml:space="preserve"> </w:t>
            </w:r>
            <w:r w:rsidR="00B165E3">
              <w:t xml:space="preserve">14.punkts </w:t>
            </w:r>
            <w:r w:rsidR="00B165E3" w:rsidRPr="00B165E3">
              <w:t xml:space="preserve">(MK noteikumu projekta </w:t>
            </w:r>
            <w:r w:rsidR="00B165E3">
              <w:t>15</w:t>
            </w:r>
            <w:r w:rsidR="00B165E3" w:rsidRPr="00B165E3">
              <w:t>.punkts</w:t>
            </w:r>
            <w:r w:rsidR="00B165E3">
              <w:t xml:space="preserve"> un 7.pielikums</w:t>
            </w:r>
            <w:r w:rsidR="00B165E3" w:rsidRPr="00B165E3">
              <w:t>)</w:t>
            </w:r>
            <w:r w:rsidRPr="00081862">
              <w:t xml:space="preserve">, norādot Amerikas peru puves radīto zaudējumu kompensāciju </w:t>
            </w:r>
            <w:r w:rsidR="00B165E3" w:rsidRPr="00B165E3">
              <w:t>nosacījum</w:t>
            </w:r>
            <w:r w:rsidR="00B165E3">
              <w:t>us</w:t>
            </w:r>
            <w:r w:rsidR="00B165E3" w:rsidRPr="00B165E3">
              <w:t xml:space="preserve"> un </w:t>
            </w:r>
            <w:r w:rsidRPr="00081862">
              <w:t xml:space="preserve">apmēru. </w:t>
            </w:r>
          </w:p>
        </w:tc>
      </w:tr>
    </w:tbl>
    <w:p w14:paraId="59054CA6" w14:textId="77777777" w:rsidR="001C661F" w:rsidRDefault="001C661F"/>
    <w:tbl>
      <w:tblPr>
        <w:tblStyle w:val="a"/>
        <w:tblW w:w="14567" w:type="dxa"/>
        <w:tblLayout w:type="fixed"/>
        <w:tblLook w:val="0600" w:firstRow="0" w:lastRow="0" w:firstColumn="0" w:lastColumn="0" w:noHBand="1" w:noVBand="1"/>
      </w:tblPr>
      <w:tblGrid>
        <w:gridCol w:w="4855"/>
        <w:gridCol w:w="4856"/>
        <w:gridCol w:w="4856"/>
      </w:tblGrid>
      <w:tr w:rsidR="001C661F" w14:paraId="1E595670" w14:textId="77777777">
        <w:tc>
          <w:tcPr>
            <w:tcW w:w="4855" w:type="dxa"/>
            <w:shd w:val="clear" w:color="auto" w:fill="FFFFFF"/>
            <w:noWrap/>
            <w:tcMar>
              <w:top w:w="75" w:type="dxa"/>
              <w:left w:w="75" w:type="dxa"/>
              <w:bottom w:w="75" w:type="dxa"/>
              <w:right w:w="75" w:type="dxa"/>
            </w:tcMar>
            <w:vAlign w:val="center"/>
          </w:tcPr>
          <w:p w14:paraId="3B5A6967" w14:textId="77777777" w:rsidR="001C661F" w:rsidRDefault="00B165E3">
            <w:pPr>
              <w:jc w:val="left"/>
            </w:pPr>
            <w:r>
              <w:lastRenderedPageBreak/>
              <w:t>Datums**</w:t>
            </w:r>
          </w:p>
        </w:tc>
        <w:tc>
          <w:tcPr>
            <w:tcW w:w="4856" w:type="dxa"/>
            <w:shd w:val="clear" w:color="auto" w:fill="FFFFFF"/>
            <w:noWrap/>
            <w:tcMar>
              <w:top w:w="75" w:type="dxa"/>
              <w:left w:w="75" w:type="dxa"/>
              <w:bottom w:w="75" w:type="dxa"/>
              <w:right w:w="75" w:type="dxa"/>
            </w:tcMar>
            <w:vAlign w:val="center"/>
          </w:tcPr>
          <w:p w14:paraId="168A59E1" w14:textId="77777777" w:rsidR="001C661F" w:rsidRDefault="001C661F">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4A6CED3" w14:textId="77777777" w:rsidR="001C661F" w:rsidRDefault="001C661F"/>
        </w:tc>
      </w:tr>
      <w:tr w:rsidR="001C661F" w14:paraId="732B42AD" w14:textId="77777777">
        <w:tc>
          <w:tcPr>
            <w:tcW w:w="4855" w:type="dxa"/>
            <w:shd w:val="clear" w:color="auto" w:fill="FFFFFF"/>
            <w:noWrap/>
            <w:tcMar>
              <w:top w:w="75" w:type="dxa"/>
              <w:left w:w="75" w:type="dxa"/>
              <w:bottom w:w="75" w:type="dxa"/>
              <w:right w:w="75" w:type="dxa"/>
            </w:tcMar>
            <w:vAlign w:val="center"/>
          </w:tcPr>
          <w:p w14:paraId="6455BBBC" w14:textId="77777777" w:rsidR="001C661F" w:rsidRDefault="001C661F"/>
        </w:tc>
        <w:tc>
          <w:tcPr>
            <w:tcW w:w="4856" w:type="dxa"/>
            <w:shd w:val="clear" w:color="auto" w:fill="FFFFFF"/>
            <w:noWrap/>
            <w:tcMar>
              <w:top w:w="75" w:type="dxa"/>
              <w:left w:w="75" w:type="dxa"/>
              <w:bottom w:w="75" w:type="dxa"/>
              <w:right w:w="75" w:type="dxa"/>
            </w:tcMar>
            <w:vAlign w:val="center"/>
          </w:tcPr>
          <w:p w14:paraId="48100C37" w14:textId="77777777" w:rsidR="001C661F" w:rsidRDefault="00B165E3">
            <w:pPr>
              <w:jc w:val="center"/>
            </w:pPr>
            <w:r>
              <w:t>(dd.mm.gggg)</w:t>
            </w:r>
          </w:p>
        </w:tc>
        <w:tc>
          <w:tcPr>
            <w:tcW w:w="4856" w:type="dxa"/>
            <w:shd w:val="clear" w:color="auto" w:fill="FFFFFF"/>
            <w:noWrap/>
            <w:tcMar>
              <w:top w:w="75" w:type="dxa"/>
              <w:left w:w="75" w:type="dxa"/>
              <w:bottom w:w="75" w:type="dxa"/>
              <w:right w:w="75" w:type="dxa"/>
            </w:tcMar>
            <w:vAlign w:val="center"/>
          </w:tcPr>
          <w:p w14:paraId="2AB1698E" w14:textId="77777777" w:rsidR="001C661F" w:rsidRDefault="001C661F"/>
        </w:tc>
      </w:tr>
      <w:tr w:rsidR="001C661F" w14:paraId="00B4983E" w14:textId="77777777">
        <w:tc>
          <w:tcPr>
            <w:tcW w:w="4855" w:type="dxa"/>
            <w:shd w:val="clear" w:color="auto" w:fill="FFFFFF"/>
            <w:noWrap/>
            <w:tcMar>
              <w:top w:w="75" w:type="dxa"/>
              <w:left w:w="75" w:type="dxa"/>
              <w:bottom w:w="75" w:type="dxa"/>
              <w:right w:w="75" w:type="dxa"/>
            </w:tcMar>
            <w:vAlign w:val="center"/>
          </w:tcPr>
          <w:p w14:paraId="5DA9DBBC" w14:textId="77777777" w:rsidR="001C661F" w:rsidRDefault="00B165E3">
            <w:pPr>
              <w:jc w:val="left"/>
            </w:pPr>
            <w:r>
              <w:t>Atbildīgā persona</w:t>
            </w:r>
          </w:p>
        </w:tc>
        <w:tc>
          <w:tcPr>
            <w:tcW w:w="4856" w:type="dxa"/>
            <w:shd w:val="clear" w:color="auto" w:fill="FFFFFF"/>
            <w:noWrap/>
            <w:tcMar>
              <w:top w:w="75" w:type="dxa"/>
              <w:left w:w="75" w:type="dxa"/>
              <w:bottom w:w="75" w:type="dxa"/>
              <w:right w:w="75" w:type="dxa"/>
            </w:tcMar>
            <w:vAlign w:val="center"/>
          </w:tcPr>
          <w:p w14:paraId="585FA2EC" w14:textId="77777777" w:rsidR="001C661F" w:rsidRDefault="001C661F">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7FA1997" w14:textId="77777777" w:rsidR="001C661F" w:rsidRDefault="001C661F"/>
        </w:tc>
      </w:tr>
      <w:tr w:rsidR="001C661F" w14:paraId="4E276145" w14:textId="77777777">
        <w:tc>
          <w:tcPr>
            <w:tcW w:w="4855" w:type="dxa"/>
            <w:shd w:val="clear" w:color="auto" w:fill="FFFFFF"/>
            <w:noWrap/>
            <w:tcMar>
              <w:top w:w="75" w:type="dxa"/>
              <w:left w:w="75" w:type="dxa"/>
              <w:bottom w:w="75" w:type="dxa"/>
              <w:right w:w="75" w:type="dxa"/>
            </w:tcMar>
            <w:vAlign w:val="center"/>
          </w:tcPr>
          <w:p w14:paraId="2B412298" w14:textId="77777777" w:rsidR="001C661F" w:rsidRDefault="001C661F"/>
        </w:tc>
        <w:tc>
          <w:tcPr>
            <w:tcW w:w="4856" w:type="dxa"/>
            <w:shd w:val="clear" w:color="auto" w:fill="FFFFFF"/>
            <w:noWrap/>
            <w:tcMar>
              <w:top w:w="75" w:type="dxa"/>
              <w:left w:w="75" w:type="dxa"/>
              <w:bottom w:w="75" w:type="dxa"/>
              <w:right w:w="75" w:type="dxa"/>
            </w:tcMar>
            <w:vAlign w:val="center"/>
          </w:tcPr>
          <w:p w14:paraId="7CD8F12A" w14:textId="77777777" w:rsidR="001C661F" w:rsidRDefault="00B165E3">
            <w:pPr>
              <w:jc w:val="center"/>
            </w:pPr>
            <w:r>
              <w:t>(vārds, uzvārds, paraksts**)</w:t>
            </w:r>
          </w:p>
        </w:tc>
        <w:tc>
          <w:tcPr>
            <w:tcW w:w="4856" w:type="dxa"/>
            <w:shd w:val="clear" w:color="auto" w:fill="FFFFFF"/>
            <w:noWrap/>
            <w:tcMar>
              <w:top w:w="75" w:type="dxa"/>
              <w:left w:w="75" w:type="dxa"/>
              <w:bottom w:w="75" w:type="dxa"/>
              <w:right w:w="75" w:type="dxa"/>
            </w:tcMar>
            <w:vAlign w:val="center"/>
          </w:tcPr>
          <w:p w14:paraId="29A8DCB2" w14:textId="77777777" w:rsidR="001C661F" w:rsidRDefault="001C661F"/>
        </w:tc>
      </w:tr>
    </w:tbl>
    <w:p w14:paraId="57CB6E47" w14:textId="77777777" w:rsidR="001C661F" w:rsidRDefault="001C661F"/>
    <w:p w14:paraId="32528E4F" w14:textId="77777777" w:rsidR="001C661F" w:rsidRDefault="00B165E3">
      <w:r>
        <w:t>Piezīmes.</w:t>
      </w:r>
    </w:p>
    <w:p w14:paraId="242A317C" w14:textId="77777777" w:rsidR="001C661F" w:rsidRDefault="00B165E3">
      <w:r>
        <w:t>* Iesniedzējs (fiziskai personai – vārds, uzvārds, juridiskai personai – nosaukums) var tikt publiskots, ja viņš tam ir piekritis. Ja attiecināms, iesniedzējs norāda interešu pārstāvja reģistrācijas numuru.</w:t>
      </w:r>
    </w:p>
    <w:p w14:paraId="01B93226" w14:textId="77777777" w:rsidR="001C661F" w:rsidRDefault="00B165E3">
      <w:r>
        <w:t>** Dokumenta rekvizītus "datums" un "paraksts" neaizpilda, ja elektroniskais dokuments ir sagatavots atbilstoši normatīvajiem aktiem par elektronisko dokumentu noformēšanu.</w:t>
      </w:r>
    </w:p>
    <w:sectPr w:rsidR="001C661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BEBA8" w14:textId="77777777" w:rsidR="00B165E3" w:rsidRDefault="00B165E3">
      <w:r>
        <w:separator/>
      </w:r>
    </w:p>
  </w:endnote>
  <w:endnote w:type="continuationSeparator" w:id="0">
    <w:p w14:paraId="7EB7EAA2" w14:textId="77777777" w:rsidR="00B165E3" w:rsidRDefault="00B16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BBBF9" w14:textId="77777777" w:rsidR="001C661F" w:rsidRDefault="00B165E3">
    <w:pPr>
      <w:jc w:val="right"/>
    </w:pPr>
    <w:r>
      <w:rPr>
        <w:sz w:val="24"/>
        <w:szCs w:val="24"/>
      </w:rPr>
      <w:fldChar w:fldCharType="begin"/>
    </w:r>
    <w:r>
      <w:rPr>
        <w:sz w:val="24"/>
        <w:szCs w:val="24"/>
      </w:rPr>
      <w:instrText>PAGE</w:instrText>
    </w:r>
    <w:r>
      <w:rPr>
        <w:sz w:val="24"/>
        <w:szCs w:val="24"/>
      </w:rPr>
      <w:fldChar w:fldCharType="separate"/>
    </w:r>
    <w:r w:rsidR="00081862">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324E" w14:textId="77777777" w:rsidR="00B165E3" w:rsidRDefault="00B165E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66353" w14:textId="77777777" w:rsidR="00B165E3" w:rsidRDefault="00B165E3">
      <w:r>
        <w:separator/>
      </w:r>
    </w:p>
  </w:footnote>
  <w:footnote w:type="continuationSeparator" w:id="0">
    <w:p w14:paraId="6B4BA259" w14:textId="77777777" w:rsidR="00B165E3" w:rsidRDefault="00B16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57E7" w14:textId="77777777" w:rsidR="001C661F" w:rsidRDefault="00B165E3">
    <w:pPr>
      <w:pStyle w:val="Header"/>
      <w:contextualSpacing w:val="0"/>
    </w:pPr>
    <w:r>
      <w:t>Viedokļu pārskats 25-TA-435</w:t>
    </w:r>
    <w:r>
      <w:br/>
      <w:t>Izdrukāts 15.10.2025. 12.32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B810" w14:textId="77777777" w:rsidR="001C661F" w:rsidRDefault="00B165E3">
    <w:pPr>
      <w:pStyle w:val="Header"/>
      <w:contextualSpacing w:val="0"/>
    </w:pPr>
    <w:r>
      <w:t>Viedokļu pārskats 25-TA-435</w:t>
    </w:r>
    <w:r>
      <w:br/>
      <w:t>Izdrukāts 15.10.2025. 12.32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61F"/>
    <w:rsid w:val="00023034"/>
    <w:rsid w:val="00081862"/>
    <w:rsid w:val="001C661F"/>
    <w:rsid w:val="00530FA8"/>
    <w:rsid w:val="00B1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C89FE"/>
  <w15:docId w15:val="{81DE7999-79DA-46AE-9EFC-EDEB32A3E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3375</Words>
  <Characters>1924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viedoklu_parskats_25-TA-435.docx</vt:lpstr>
    </vt:vector>
  </TitlesOfParts>
  <Company>Zemkopības Ministrija</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viedoklu_parskats_25-TA-435.docx</dc:title>
  <dc:creator>Aija Tora</dc:creator>
  <cp:lastModifiedBy>Aija Tora</cp:lastModifiedBy>
  <cp:revision>3</cp:revision>
  <dcterms:created xsi:type="dcterms:W3CDTF">2025-10-15T09:48:00Z</dcterms:created>
  <dcterms:modified xsi:type="dcterms:W3CDTF">2025-10-15T10:47:00Z</dcterms:modified>
</cp:coreProperties>
</file>