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9E7169" w:rsidRDefault="001B1BCB">
      <w:pPr>
        <w:spacing w:after="240"/>
        <w:jc w:val="center"/>
        <w:rPr>
          <w:b/>
        </w:rPr>
      </w:pPr>
      <w:bookmarkStart w:id="0" w:name="_GoBack"/>
      <w:bookmarkEnd w:id="0"/>
      <w:r>
        <w:rPr>
          <w:b/>
        </w:rPr>
        <w:t>“Publiskās apspriešanas laikā 19.08.2025. - 18.09.2025. saņemto viedokļu, priekšlikumu un iebildumu apkopojums par Grozījums Ministru kabineta 2020. gada 26. augusta rīkojumā Nr.&amp;nbsp;476 "Par Valsts civilās aizsardzības plānu"”</w:t>
      </w:r>
    </w:p>
    <w:tbl>
      <w:tblPr>
        <w:tblStyle w:val="a"/>
        <w:tblW w:w="14567"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750"/>
        <w:gridCol w:w="4055"/>
        <w:gridCol w:w="4056"/>
        <w:gridCol w:w="1650"/>
        <w:gridCol w:w="4056"/>
      </w:tblGrid>
      <w:tr w:rsidR="009E7169">
        <w:tc>
          <w:tcPr>
            <w:tcW w:w="750" w:type="dxa"/>
            <w:shd w:val="clear" w:color="auto" w:fill="FFFFFF"/>
            <w:noWrap/>
            <w:tcMar>
              <w:top w:w="75" w:type="dxa"/>
              <w:left w:w="75" w:type="dxa"/>
              <w:bottom w:w="75" w:type="dxa"/>
              <w:right w:w="75" w:type="dxa"/>
            </w:tcMar>
            <w:vAlign w:val="center"/>
          </w:tcPr>
          <w:p w:rsidR="009E7169" w:rsidRDefault="001B1BCB">
            <w:pPr>
              <w:jc w:val="center"/>
            </w:pPr>
            <w:proofErr w:type="spellStart"/>
            <w:r>
              <w:rPr>
                <w:b/>
              </w:rPr>
              <w:t>Nr.p.k</w:t>
            </w:r>
            <w:proofErr w:type="spellEnd"/>
            <w:r>
              <w:rPr>
                <w:b/>
              </w:rPr>
              <w:t>.</w:t>
            </w:r>
          </w:p>
        </w:tc>
        <w:tc>
          <w:tcPr>
            <w:tcW w:w="4055" w:type="dxa"/>
            <w:shd w:val="clear" w:color="auto" w:fill="FFFFFF"/>
            <w:noWrap/>
            <w:tcMar>
              <w:top w:w="75" w:type="dxa"/>
              <w:left w:w="75" w:type="dxa"/>
              <w:bottom w:w="75" w:type="dxa"/>
              <w:right w:w="75" w:type="dxa"/>
            </w:tcMar>
            <w:vAlign w:val="center"/>
          </w:tcPr>
          <w:p w:rsidR="009E7169" w:rsidRDefault="001B1BCB">
            <w:pPr>
              <w:jc w:val="center"/>
            </w:pPr>
            <w:r>
              <w:rPr>
                <w:b/>
              </w:rPr>
              <w:t>Viedokļa / priekšlikuma / iebilduma iesniedzējs*</w:t>
            </w:r>
          </w:p>
        </w:tc>
        <w:tc>
          <w:tcPr>
            <w:tcW w:w="4056" w:type="dxa"/>
            <w:shd w:val="clear" w:color="auto" w:fill="FFFFFF"/>
            <w:noWrap/>
            <w:tcMar>
              <w:top w:w="75" w:type="dxa"/>
              <w:left w:w="75" w:type="dxa"/>
              <w:bottom w:w="75" w:type="dxa"/>
              <w:right w:w="75" w:type="dxa"/>
            </w:tcMar>
            <w:vAlign w:val="center"/>
          </w:tcPr>
          <w:p w:rsidR="009E7169" w:rsidRDefault="001B1BCB">
            <w:pPr>
              <w:jc w:val="center"/>
            </w:pPr>
            <w:r>
              <w:rPr>
                <w:b/>
              </w:rPr>
              <w:t>Iesniegtā viedokļa / priekšlikuma / iebilduma būtība</w:t>
            </w:r>
          </w:p>
        </w:tc>
        <w:tc>
          <w:tcPr>
            <w:tcW w:w="1650" w:type="dxa"/>
            <w:shd w:val="clear" w:color="auto" w:fill="FFFFFF"/>
            <w:noWrap/>
            <w:tcMar>
              <w:top w:w="75" w:type="dxa"/>
              <w:left w:w="75" w:type="dxa"/>
              <w:bottom w:w="75" w:type="dxa"/>
              <w:right w:w="75" w:type="dxa"/>
            </w:tcMar>
            <w:vAlign w:val="center"/>
          </w:tcPr>
          <w:p w:rsidR="009E7169" w:rsidRDefault="001B1BCB">
            <w:pPr>
              <w:jc w:val="center"/>
            </w:pPr>
            <w:r>
              <w:rPr>
                <w:b/>
              </w:rPr>
              <w:t>Ņemts vērā / ņemts vērā daļēji / nav ņemts vērā</w:t>
            </w:r>
          </w:p>
        </w:tc>
        <w:tc>
          <w:tcPr>
            <w:tcW w:w="4056" w:type="dxa"/>
            <w:shd w:val="clear" w:color="auto" w:fill="FFFFFF"/>
            <w:noWrap/>
            <w:tcMar>
              <w:top w:w="75" w:type="dxa"/>
              <w:left w:w="75" w:type="dxa"/>
              <w:bottom w:w="75" w:type="dxa"/>
              <w:right w:w="75" w:type="dxa"/>
            </w:tcMar>
            <w:vAlign w:val="center"/>
          </w:tcPr>
          <w:p w:rsidR="009E7169" w:rsidRDefault="001B1BCB">
            <w:pPr>
              <w:jc w:val="center"/>
            </w:pPr>
            <w:r>
              <w:rPr>
                <w:b/>
              </w:rPr>
              <w:t>Skaidrojums, kādā veidā viedoklis / priekšlikums / iebildums ir ņemts vērā vai ņemts vērā daļēji, vai pamatojums, ja viedoklis / priekšlikums / iebildums nav ņemts vērā</w:t>
            </w:r>
          </w:p>
        </w:tc>
      </w:tr>
      <w:tr w:rsidR="009E7169" w:rsidTr="00181778">
        <w:tc>
          <w:tcPr>
            <w:tcW w:w="750" w:type="dxa"/>
            <w:shd w:val="clear" w:color="auto" w:fill="FFFFFF"/>
            <w:noWrap/>
            <w:tcMar>
              <w:top w:w="75" w:type="dxa"/>
              <w:left w:w="75" w:type="dxa"/>
              <w:bottom w:w="75" w:type="dxa"/>
              <w:right w:w="75" w:type="dxa"/>
            </w:tcMar>
          </w:tcPr>
          <w:p w:rsidR="009E7169" w:rsidRDefault="001B1BCB" w:rsidP="00181778">
            <w:pPr>
              <w:jc w:val="center"/>
            </w:pPr>
            <w:r>
              <w:t>1.</w:t>
            </w:r>
          </w:p>
        </w:tc>
        <w:tc>
          <w:tcPr>
            <w:tcW w:w="4055" w:type="dxa"/>
            <w:shd w:val="clear" w:color="auto" w:fill="FFFFFF"/>
            <w:noWrap/>
            <w:tcMar>
              <w:top w:w="75" w:type="dxa"/>
              <w:left w:w="75" w:type="dxa"/>
              <w:bottom w:w="75" w:type="dxa"/>
              <w:right w:w="75" w:type="dxa"/>
            </w:tcMar>
          </w:tcPr>
          <w:p w:rsidR="009E7169" w:rsidRDefault="001B1BCB" w:rsidP="00181778">
            <w:pPr>
              <w:jc w:val="center"/>
            </w:pPr>
            <w:r>
              <w:t>SIA "Rīgas Austrumu klīniskā universitātes slimnīca"</w:t>
            </w:r>
          </w:p>
        </w:tc>
        <w:tc>
          <w:tcPr>
            <w:tcW w:w="4056" w:type="dxa"/>
            <w:shd w:val="clear" w:color="auto" w:fill="FFFFFF"/>
            <w:noWrap/>
            <w:tcMar>
              <w:top w:w="75" w:type="dxa"/>
              <w:left w:w="75" w:type="dxa"/>
              <w:bottom w:w="75" w:type="dxa"/>
              <w:right w:w="75" w:type="dxa"/>
            </w:tcMar>
            <w:vAlign w:val="center"/>
          </w:tcPr>
          <w:p w:rsidR="009E7169" w:rsidRDefault="001B1BCB">
            <w:pPr>
              <w:jc w:val="left"/>
            </w:pPr>
            <w:r>
              <w:t xml:space="preserve">15.pielikumā “BIOLOĢISKO VIELU NEGADĪJUMI” ir atsauce ir vecajiem Ministru kabineta 2008.gada 5.augusta noteikumiem Nr.12 ”Instrukcija par atbildīgo institūciju rīcību nezināmas izcelsmes vielas vai priekšmeta atrašanas gadījumā, ja ir aizdomas, ka tas satur </w:t>
            </w:r>
            <w:proofErr w:type="spellStart"/>
            <w:r>
              <w:t>sprādzienbīstamas</w:t>
            </w:r>
            <w:proofErr w:type="spellEnd"/>
            <w:r>
              <w:t>, radioaktīvas, bīstamas ķīmiskas vai bioloģiskas vielas, kā arī ja konstatētas terora akta pazīmes”, kuri ir zaudējuši spēku 13.06.2025.</w:t>
            </w:r>
            <w:r>
              <w:br/>
              <w:t xml:space="preserve">Lūdzam tos nomainīt pret spēkā esošajiem Ministru kabineta 2025. gada 10. jūnija noteikumiem Nr. 4 </w:t>
            </w:r>
            <w:r>
              <w:lastRenderedPageBreak/>
              <w:t xml:space="preserve">"Instrukcija par atbildīgo institūciju rīcību nezināmas izcelsmes vielas vai priekšmeta atrašanas gadījumā, ja ir aizdomas, ka tas satur </w:t>
            </w:r>
            <w:proofErr w:type="spellStart"/>
            <w:r>
              <w:t>sprādzienbīstamas</w:t>
            </w:r>
            <w:proofErr w:type="spellEnd"/>
            <w:r>
              <w:t>, radioaktīvas vai bīstamas ķīmiskas vielas vai bioloģiskos aģentus, kā arī ja konstatētas terora akta pazīmes". </w:t>
            </w:r>
            <w:r>
              <w:br/>
            </w:r>
          </w:p>
        </w:tc>
        <w:tc>
          <w:tcPr>
            <w:tcW w:w="1650" w:type="dxa"/>
            <w:shd w:val="clear" w:color="auto" w:fill="FFFFFF"/>
            <w:noWrap/>
            <w:tcMar>
              <w:top w:w="75" w:type="dxa"/>
              <w:left w:w="75" w:type="dxa"/>
              <w:bottom w:w="75" w:type="dxa"/>
              <w:right w:w="75" w:type="dxa"/>
            </w:tcMar>
          </w:tcPr>
          <w:p w:rsidR="009E7169" w:rsidRDefault="00B25669" w:rsidP="00181778">
            <w:pPr>
              <w:jc w:val="center"/>
            </w:pPr>
            <w:r>
              <w:lastRenderedPageBreak/>
              <w:t>Ņemts vērā</w:t>
            </w:r>
          </w:p>
        </w:tc>
        <w:tc>
          <w:tcPr>
            <w:tcW w:w="4056" w:type="dxa"/>
            <w:shd w:val="clear" w:color="auto" w:fill="FFFFFF"/>
            <w:noWrap/>
            <w:tcMar>
              <w:top w:w="75" w:type="dxa"/>
              <w:left w:w="75" w:type="dxa"/>
              <w:bottom w:w="75" w:type="dxa"/>
              <w:right w:w="75" w:type="dxa"/>
            </w:tcMar>
          </w:tcPr>
          <w:p w:rsidR="009E7169" w:rsidRPr="005C46AB" w:rsidRDefault="00B25669" w:rsidP="00B25669">
            <w:pPr>
              <w:rPr>
                <w:color w:val="auto"/>
                <w:szCs w:val="28"/>
              </w:rPr>
            </w:pPr>
            <w:r w:rsidRPr="00B25669">
              <w:rPr>
                <w:color w:val="auto"/>
                <w:szCs w:val="28"/>
              </w:rPr>
              <w:t xml:space="preserve">Valsts civilās aizsardzības plāna 15.pielikumā </w:t>
            </w:r>
            <w:r>
              <w:rPr>
                <w:color w:val="auto"/>
                <w:szCs w:val="28"/>
              </w:rPr>
              <w:t>”B</w:t>
            </w:r>
            <w:r w:rsidRPr="00B25669">
              <w:rPr>
                <w:color w:val="auto"/>
                <w:szCs w:val="28"/>
              </w:rPr>
              <w:t>ioloģisko vielu negadījumi</w:t>
            </w:r>
            <w:r>
              <w:rPr>
                <w:color w:val="auto"/>
                <w:szCs w:val="28"/>
              </w:rPr>
              <w:t>” sadaļā ”</w:t>
            </w:r>
            <w:r w:rsidRPr="00B25669">
              <w:rPr>
                <w:color w:val="auto"/>
                <w:szCs w:val="28"/>
              </w:rPr>
              <w:t>Ar nozari saistītie attīstības plānošanas dokumenti, tiesību akti un citi dokumenti</w:t>
            </w:r>
            <w:r>
              <w:rPr>
                <w:color w:val="auto"/>
                <w:szCs w:val="28"/>
              </w:rPr>
              <w:t>” teksts ”</w:t>
            </w:r>
            <w:r w:rsidRPr="00B25669">
              <w:rPr>
                <w:color w:val="auto"/>
                <w:szCs w:val="28"/>
              </w:rPr>
              <w:t xml:space="preserve">Ministru kabineta 2008.gada 5.augusta instrukcija Nr.12 ”Instrukcija par atbildīgo institūciju rīcību nezināmas izcelsmes vielas vai priekšmeta atrašanas gadījumā, ja ir aizdomas, ka tas satur </w:t>
            </w:r>
            <w:proofErr w:type="spellStart"/>
            <w:r w:rsidRPr="00B25669">
              <w:rPr>
                <w:color w:val="auto"/>
                <w:szCs w:val="28"/>
              </w:rPr>
              <w:t>sprādzienbīstamas</w:t>
            </w:r>
            <w:proofErr w:type="spellEnd"/>
            <w:r w:rsidRPr="00B25669">
              <w:rPr>
                <w:color w:val="auto"/>
                <w:szCs w:val="28"/>
              </w:rPr>
              <w:t>, radioaktīvas, bīstamas ķīmiskas vai bioloģiskas vielas, kā arī ja konstatētas terora akta pazīmes”</w:t>
            </w:r>
            <w:r>
              <w:rPr>
                <w:color w:val="auto"/>
                <w:szCs w:val="28"/>
              </w:rPr>
              <w:t xml:space="preserve"> aizstāts ar tekstu ”</w:t>
            </w:r>
            <w:r w:rsidRPr="00B25669">
              <w:rPr>
                <w:color w:val="auto"/>
                <w:szCs w:val="28"/>
              </w:rPr>
              <w:t xml:space="preserve">Ministru kabineta 2025.gada </w:t>
            </w:r>
            <w:r w:rsidRPr="00B25669">
              <w:rPr>
                <w:color w:val="auto"/>
                <w:szCs w:val="28"/>
              </w:rPr>
              <w:lastRenderedPageBreak/>
              <w:t xml:space="preserve">10.jūnija instrukcija Nr.4 ”Instrukcija par atbildīgo institūciju rīcību nezināmas izcelsmes vielas vai priekšmeta atrašanas gadījumā, ja ir aizdomas, ka tas satur </w:t>
            </w:r>
            <w:proofErr w:type="spellStart"/>
            <w:r w:rsidRPr="00B25669">
              <w:rPr>
                <w:color w:val="auto"/>
                <w:szCs w:val="28"/>
              </w:rPr>
              <w:t>sprādzienbīstamas</w:t>
            </w:r>
            <w:proofErr w:type="spellEnd"/>
            <w:r w:rsidRPr="00B25669">
              <w:rPr>
                <w:color w:val="auto"/>
                <w:szCs w:val="28"/>
              </w:rPr>
              <w:t>, radioaktīvas vai bīstamas ķīmiskas vielas vai bioloģiskos aģentus, kā arī ja konstatētas terora akta pazīmes”</w:t>
            </w:r>
            <w:r>
              <w:rPr>
                <w:color w:val="auto"/>
                <w:szCs w:val="28"/>
              </w:rPr>
              <w:t>.</w:t>
            </w:r>
          </w:p>
        </w:tc>
      </w:tr>
      <w:tr w:rsidR="009E7169" w:rsidTr="0008095A">
        <w:tc>
          <w:tcPr>
            <w:tcW w:w="750" w:type="dxa"/>
            <w:shd w:val="clear" w:color="auto" w:fill="FFFFFF"/>
            <w:noWrap/>
            <w:tcMar>
              <w:top w:w="75" w:type="dxa"/>
              <w:left w:w="75" w:type="dxa"/>
              <w:bottom w:w="75" w:type="dxa"/>
              <w:right w:w="75" w:type="dxa"/>
            </w:tcMar>
          </w:tcPr>
          <w:p w:rsidR="009E7169" w:rsidRDefault="001B1BCB" w:rsidP="002810F2">
            <w:pPr>
              <w:jc w:val="center"/>
            </w:pPr>
            <w:r>
              <w:lastRenderedPageBreak/>
              <w:t>2.</w:t>
            </w:r>
          </w:p>
        </w:tc>
        <w:tc>
          <w:tcPr>
            <w:tcW w:w="4055" w:type="dxa"/>
            <w:shd w:val="clear" w:color="auto" w:fill="FFFFFF"/>
            <w:noWrap/>
            <w:tcMar>
              <w:top w:w="75" w:type="dxa"/>
              <w:left w:w="75" w:type="dxa"/>
              <w:bottom w:w="75" w:type="dxa"/>
              <w:right w:w="75" w:type="dxa"/>
            </w:tcMar>
          </w:tcPr>
          <w:p w:rsidR="009E7169" w:rsidRDefault="001B1BCB" w:rsidP="002810F2">
            <w:pPr>
              <w:jc w:val="center"/>
            </w:pPr>
            <w:r>
              <w:t>"Tavi draugi"</w:t>
            </w:r>
          </w:p>
        </w:tc>
        <w:tc>
          <w:tcPr>
            <w:tcW w:w="4056" w:type="dxa"/>
            <w:shd w:val="clear" w:color="auto" w:fill="FFFFFF"/>
            <w:noWrap/>
            <w:tcMar>
              <w:top w:w="75" w:type="dxa"/>
              <w:left w:w="75" w:type="dxa"/>
              <w:bottom w:w="75" w:type="dxa"/>
              <w:right w:w="75" w:type="dxa"/>
            </w:tcMar>
            <w:vAlign w:val="center"/>
          </w:tcPr>
          <w:p w:rsidR="009E7169" w:rsidRDefault="001B1BCB">
            <w:pPr>
              <w:jc w:val="left"/>
            </w:pPr>
            <w:r>
              <w:t xml:space="preserve">VCAP </w:t>
            </w:r>
            <w:r w:rsidRPr="00D4305E">
              <w:rPr>
                <w:color w:val="000000" w:themeColor="text1"/>
              </w:rPr>
              <w:t xml:space="preserve">31. pielikums </w:t>
            </w:r>
            <w:r>
              <w:t xml:space="preserve">(Iesaistāmo institūciju apziņošanas kārtība) - shēmas nav atainotas, tādēļ grūti komentēt, vai un kāda loma Apziņošanas shēmā, ja tiek iesaistītas pašvaldību sadarbības teritoriju civilās aizsardzības komisijas, paredzēta NVO sektoram, bet šķiet, ka šī </w:t>
            </w:r>
            <w:proofErr w:type="spellStart"/>
            <w:r>
              <w:t>līmena</w:t>
            </w:r>
            <w:proofErr w:type="spellEnd"/>
            <w:r>
              <w:t xml:space="preserve"> apziņošanas sistēmā būtu jāiekļauj arī NVO, preventīvi stiprinot pašvaldību CAK sadarbību ar lokālajām NVO. </w:t>
            </w:r>
            <w:r>
              <w:br/>
            </w:r>
            <w:r>
              <w:br/>
              <w:t xml:space="preserve">VCAP </w:t>
            </w:r>
            <w:r w:rsidRPr="0033350F">
              <w:rPr>
                <w:color w:val="000000" w:themeColor="text1"/>
              </w:rPr>
              <w:t xml:space="preserve">33. pielikums </w:t>
            </w:r>
            <w:r>
              <w:t xml:space="preserve">(Katastrofas pārvaldīšanas pasākumi kara, militāra iebrukuma vai to draudu </w:t>
            </w:r>
            <w:r>
              <w:lastRenderedPageBreak/>
              <w:t xml:space="preserve">gadījumā) - sadaļā "Reaģēšanas un seku </w:t>
            </w:r>
            <w:proofErr w:type="spellStart"/>
            <w:r>
              <w:t>likvidēšnas</w:t>
            </w:r>
            <w:proofErr w:type="spellEnd"/>
            <w:r>
              <w:t xml:space="preserve"> pasākumi"  pie Izpildītajiem NVO minēts vienā punktā "Pirmās palīdzības sniegšana" - manuprāt, te nepieciešams stiprināt NVO sektoru centralizēti - patreiz ir šaurs NVO loks, kas spētu realizēt šādu atbalsta funkciju. Nepieciešams sektoru stiprināt centralizēti gan iekšējam resursam (materiālais nodrošinājums, zināšanas un prasmes, </w:t>
            </w:r>
            <w:proofErr w:type="spellStart"/>
            <w:r>
              <w:t>cilvēkresurss</w:t>
            </w:r>
            <w:proofErr w:type="spellEnd"/>
            <w:r>
              <w:t>), gan palīdzības sniegšanai sabiedrības līmenī. </w:t>
            </w:r>
            <w:r>
              <w:br/>
            </w:r>
            <w:r>
              <w:br/>
            </w:r>
            <w:r w:rsidRPr="0033350F">
              <w:rPr>
                <w:color w:val="000000" w:themeColor="text1"/>
              </w:rPr>
              <w:t xml:space="preserve">VCAP 35. pielikums </w:t>
            </w:r>
            <w:r>
              <w:t xml:space="preserve">(Pasākumu plāns par kontrolētu masveida iedzīvotāju evakuāciju un pārvietošanu militāra iebrukuma, katastrofas vai to draudu gadījumā) - NVO pieminēts vairākkārt (Brīvprātīgo un, ja nepieciešams, arī nevalstisko un reliģisko organizāciju piesaistīšana, Pirmās palīdzības sniegšana, Sociālās aprūpes centru pacientu pārvietošana uz citu </w:t>
            </w:r>
            <w:r>
              <w:lastRenderedPageBreak/>
              <w:t xml:space="preserve">sociālās aprūpes centru). Ņemot vērā, ka pašvaldībām ir sniegtas Vadlīnijas evakuācijas punkta izveidei un darbībai, pulcēšanās vietu noteikšanai masveida evakuācijas gadījumā un liela daļa aktivitāšu ir pašvaldību kompetencē, ir ĻOTI SVARĪGI stiprināt pašvaldību sadarbību un kopīgas mācības ar NVO sektoru, lai pēc nepieciešamības sadarbība ne vien būtu iespējama, bet tā būtu arī efektīva. Ļoti daudzu punktu īstenošanai noteiktu pasākumu "Iesaistītā institūcija" tiek definēta kā " Visas iesaistītās institūcijas atbilstoši kompetencei". Saredzu, ka daudzos punktos NVO sektors varētu un tam pat vajadzētu iesaistīties, bet tā kompetence patreiz ir zema un informācijas apmaiņa ar CAK pašvaldībās ir vāja vai nav vispār. Šis būtu </w:t>
            </w:r>
            <w:proofErr w:type="spellStart"/>
            <w:r>
              <w:t>jāstiprin</w:t>
            </w:r>
            <w:proofErr w:type="spellEnd"/>
            <w:r>
              <w:t xml:space="preserve">. NVO iesaiste patreiz paredzēta "pēc nepieciešamības" vai "Pēc resursu mobilizēšanas", bet bez treniņa, mācībām vai resursu apsekošanas jau preventīvi </w:t>
            </w:r>
            <w:r>
              <w:lastRenderedPageBreak/>
              <w:t>tas nebūs iespējams.</w:t>
            </w:r>
            <w:r>
              <w:br/>
              <w:t>Nākošā perioda mācībās būtu nepieciešams NVO iesaistīt regulāri un plašākā mērogā, izmantojot visu iespējamo resursu. Bez mācībām nav treniņa, bez treniņa nevar veidoties prakse un bez prakses nav labu rezultātu. </w:t>
            </w:r>
          </w:p>
        </w:tc>
        <w:tc>
          <w:tcPr>
            <w:tcW w:w="1650" w:type="dxa"/>
            <w:shd w:val="clear" w:color="auto" w:fill="FFFFFF"/>
            <w:noWrap/>
            <w:tcMar>
              <w:top w:w="75" w:type="dxa"/>
              <w:left w:w="75" w:type="dxa"/>
              <w:bottom w:w="75" w:type="dxa"/>
              <w:right w:w="75" w:type="dxa"/>
            </w:tcMar>
          </w:tcPr>
          <w:p w:rsidR="009E7169" w:rsidRDefault="0008095A" w:rsidP="0033350F">
            <w:pPr>
              <w:jc w:val="center"/>
            </w:pPr>
            <w:r>
              <w:lastRenderedPageBreak/>
              <w:t>Ņemts vērā</w:t>
            </w:r>
          </w:p>
          <w:p w:rsidR="0033350F" w:rsidRDefault="0033350F" w:rsidP="0033350F">
            <w:pPr>
              <w:jc w:val="center"/>
            </w:pPr>
          </w:p>
          <w:p w:rsidR="0033350F" w:rsidRDefault="0033350F" w:rsidP="0033350F">
            <w:pPr>
              <w:jc w:val="center"/>
            </w:pPr>
          </w:p>
          <w:p w:rsidR="0033350F" w:rsidRDefault="0033350F" w:rsidP="0033350F">
            <w:pPr>
              <w:jc w:val="center"/>
            </w:pPr>
          </w:p>
          <w:p w:rsidR="0033350F" w:rsidRDefault="0033350F" w:rsidP="0033350F">
            <w:pPr>
              <w:jc w:val="center"/>
            </w:pPr>
          </w:p>
          <w:p w:rsidR="0033350F" w:rsidRDefault="0033350F" w:rsidP="0033350F">
            <w:pPr>
              <w:jc w:val="center"/>
            </w:pPr>
          </w:p>
          <w:p w:rsidR="0033350F" w:rsidRDefault="0033350F" w:rsidP="0033350F">
            <w:pPr>
              <w:jc w:val="center"/>
            </w:pPr>
          </w:p>
          <w:p w:rsidR="0033350F" w:rsidRDefault="0033350F" w:rsidP="0033350F">
            <w:pPr>
              <w:jc w:val="center"/>
            </w:pPr>
          </w:p>
          <w:p w:rsidR="0033350F" w:rsidRDefault="0033350F" w:rsidP="0033350F">
            <w:pPr>
              <w:jc w:val="center"/>
            </w:pPr>
          </w:p>
          <w:p w:rsidR="0033350F" w:rsidRDefault="0033350F" w:rsidP="0033350F">
            <w:pPr>
              <w:jc w:val="center"/>
            </w:pPr>
          </w:p>
          <w:p w:rsidR="0033350F" w:rsidRDefault="0033350F" w:rsidP="0033350F">
            <w:pPr>
              <w:jc w:val="center"/>
            </w:pPr>
          </w:p>
          <w:p w:rsidR="0033350F" w:rsidRDefault="0033350F" w:rsidP="0033350F">
            <w:pPr>
              <w:jc w:val="center"/>
            </w:pPr>
          </w:p>
          <w:p w:rsidR="0033350F" w:rsidRDefault="0033350F" w:rsidP="0033350F">
            <w:pPr>
              <w:jc w:val="center"/>
            </w:pPr>
          </w:p>
          <w:p w:rsidR="0033350F" w:rsidRDefault="0033350F" w:rsidP="0033350F">
            <w:pPr>
              <w:jc w:val="center"/>
            </w:pPr>
          </w:p>
          <w:p w:rsidR="0033350F" w:rsidRDefault="0033350F" w:rsidP="0033350F">
            <w:pPr>
              <w:jc w:val="center"/>
            </w:pPr>
            <w:r>
              <w:t>Nav ņemts vērā</w:t>
            </w:r>
          </w:p>
          <w:p w:rsidR="0033350F" w:rsidRDefault="0033350F" w:rsidP="0033350F">
            <w:pPr>
              <w:jc w:val="center"/>
            </w:pPr>
          </w:p>
          <w:p w:rsidR="0033350F" w:rsidRDefault="0033350F" w:rsidP="0033350F">
            <w:pPr>
              <w:jc w:val="center"/>
            </w:pPr>
          </w:p>
          <w:p w:rsidR="0033350F" w:rsidRDefault="0033350F" w:rsidP="0033350F">
            <w:pPr>
              <w:jc w:val="center"/>
            </w:pPr>
          </w:p>
          <w:p w:rsidR="0033350F" w:rsidRDefault="0033350F" w:rsidP="0033350F">
            <w:pPr>
              <w:jc w:val="center"/>
            </w:pPr>
          </w:p>
          <w:p w:rsidR="0033350F" w:rsidRDefault="0033350F" w:rsidP="0033350F">
            <w:pPr>
              <w:jc w:val="center"/>
            </w:pPr>
          </w:p>
          <w:p w:rsidR="0033350F" w:rsidRDefault="0033350F" w:rsidP="0033350F">
            <w:pPr>
              <w:jc w:val="center"/>
            </w:pPr>
          </w:p>
          <w:p w:rsidR="0033350F" w:rsidRDefault="0033350F" w:rsidP="0033350F">
            <w:pPr>
              <w:jc w:val="center"/>
            </w:pPr>
          </w:p>
          <w:p w:rsidR="0033350F" w:rsidRDefault="0033350F" w:rsidP="0033350F">
            <w:pPr>
              <w:jc w:val="center"/>
            </w:pPr>
          </w:p>
          <w:p w:rsidR="0033350F" w:rsidRDefault="0033350F" w:rsidP="0033350F">
            <w:pPr>
              <w:jc w:val="center"/>
            </w:pPr>
          </w:p>
          <w:p w:rsidR="0033350F" w:rsidRDefault="0033350F" w:rsidP="0033350F">
            <w:pPr>
              <w:jc w:val="center"/>
            </w:pPr>
          </w:p>
          <w:p w:rsidR="0033350F" w:rsidRDefault="0033350F" w:rsidP="0033350F">
            <w:pPr>
              <w:jc w:val="center"/>
            </w:pPr>
          </w:p>
          <w:p w:rsidR="0033350F" w:rsidRDefault="0033350F" w:rsidP="0033350F">
            <w:pPr>
              <w:jc w:val="center"/>
            </w:pPr>
          </w:p>
          <w:p w:rsidR="0033350F" w:rsidRDefault="0033350F" w:rsidP="0033350F">
            <w:pPr>
              <w:jc w:val="center"/>
            </w:pPr>
          </w:p>
          <w:p w:rsidR="0033350F" w:rsidRDefault="0033350F" w:rsidP="0033350F">
            <w:pPr>
              <w:jc w:val="center"/>
            </w:pPr>
          </w:p>
          <w:p w:rsidR="0033350F" w:rsidRDefault="0033350F" w:rsidP="0033350F">
            <w:pPr>
              <w:jc w:val="center"/>
            </w:pPr>
          </w:p>
          <w:p w:rsidR="0033350F" w:rsidRDefault="0033350F" w:rsidP="0033350F">
            <w:pPr>
              <w:jc w:val="center"/>
            </w:pPr>
          </w:p>
          <w:p w:rsidR="0033350F" w:rsidRDefault="0033350F" w:rsidP="0033350F">
            <w:pPr>
              <w:jc w:val="center"/>
            </w:pPr>
          </w:p>
          <w:p w:rsidR="0033350F" w:rsidRDefault="0033350F" w:rsidP="0033350F">
            <w:pPr>
              <w:jc w:val="center"/>
            </w:pPr>
            <w:r w:rsidRPr="0033350F">
              <w:t>Nav ņemts vērā</w:t>
            </w:r>
          </w:p>
        </w:tc>
        <w:tc>
          <w:tcPr>
            <w:tcW w:w="4056" w:type="dxa"/>
            <w:shd w:val="clear" w:color="auto" w:fill="FFFFFF"/>
            <w:noWrap/>
            <w:tcMar>
              <w:top w:w="75" w:type="dxa"/>
              <w:left w:w="75" w:type="dxa"/>
              <w:bottom w:w="75" w:type="dxa"/>
              <w:right w:w="75" w:type="dxa"/>
            </w:tcMar>
          </w:tcPr>
          <w:p w:rsidR="009E7169" w:rsidRDefault="0008095A" w:rsidP="0008095A">
            <w:r>
              <w:lastRenderedPageBreak/>
              <w:t>Valsts civilās aizsardzības plāna 31.pielikuma ”</w:t>
            </w:r>
            <w:r w:rsidRPr="0008095A">
              <w:t>Iesaistāmo institūciju apziņošanas kārtība</w:t>
            </w:r>
            <w:r>
              <w:t>” shēma ”</w:t>
            </w:r>
            <w:r w:rsidRPr="0008095A">
              <w:t>Iesaistāmo institūciju apziņošanas un informēšanas shēma katastrofas vai tās draudu gadījumā</w:t>
            </w:r>
            <w:r>
              <w:t>” papildināta, iekļaujot tajā nevalstiskās organizācija.</w:t>
            </w:r>
          </w:p>
          <w:p w:rsidR="0033350F" w:rsidRDefault="0033350F" w:rsidP="0008095A">
            <w:pPr>
              <w:jc w:val="center"/>
            </w:pPr>
          </w:p>
          <w:p w:rsidR="0033350F" w:rsidRDefault="0033350F" w:rsidP="0008095A">
            <w:pPr>
              <w:jc w:val="center"/>
            </w:pPr>
          </w:p>
          <w:p w:rsidR="0033350F" w:rsidRDefault="0033350F" w:rsidP="0008095A">
            <w:pPr>
              <w:jc w:val="center"/>
            </w:pPr>
          </w:p>
          <w:p w:rsidR="0033350F" w:rsidRDefault="0033350F" w:rsidP="0008095A">
            <w:pPr>
              <w:jc w:val="center"/>
            </w:pPr>
          </w:p>
          <w:p w:rsidR="0033350F" w:rsidRDefault="0033350F" w:rsidP="0008095A">
            <w:pPr>
              <w:jc w:val="center"/>
            </w:pPr>
          </w:p>
          <w:p w:rsidR="0033350F" w:rsidRDefault="0033350F" w:rsidP="0008095A">
            <w:pPr>
              <w:jc w:val="center"/>
            </w:pPr>
          </w:p>
          <w:p w:rsidR="0033350F" w:rsidRDefault="0033350F" w:rsidP="0008095A">
            <w:r>
              <w:t>Izteiktais viedoklis neattiecas uz Valsts civilās  aizsardzības plānā iekļaujamajiem pasākumiem.</w:t>
            </w:r>
          </w:p>
          <w:p w:rsidR="0033350F" w:rsidRDefault="0033350F" w:rsidP="0008095A">
            <w:pPr>
              <w:jc w:val="center"/>
            </w:pPr>
          </w:p>
          <w:p w:rsidR="0033350F" w:rsidRDefault="0033350F" w:rsidP="0008095A">
            <w:pPr>
              <w:jc w:val="center"/>
            </w:pPr>
          </w:p>
          <w:p w:rsidR="0033350F" w:rsidRDefault="0033350F" w:rsidP="0008095A">
            <w:pPr>
              <w:jc w:val="center"/>
            </w:pPr>
          </w:p>
          <w:p w:rsidR="0033350F" w:rsidRDefault="0033350F" w:rsidP="0008095A">
            <w:pPr>
              <w:jc w:val="center"/>
            </w:pPr>
          </w:p>
          <w:p w:rsidR="0033350F" w:rsidRDefault="0033350F" w:rsidP="0008095A">
            <w:pPr>
              <w:jc w:val="center"/>
            </w:pPr>
          </w:p>
          <w:p w:rsidR="0033350F" w:rsidRDefault="0033350F" w:rsidP="0008095A">
            <w:pPr>
              <w:jc w:val="center"/>
            </w:pPr>
          </w:p>
          <w:p w:rsidR="0033350F" w:rsidRDefault="0033350F" w:rsidP="0008095A">
            <w:pPr>
              <w:jc w:val="center"/>
            </w:pPr>
          </w:p>
          <w:p w:rsidR="0033350F" w:rsidRDefault="0033350F" w:rsidP="0008095A">
            <w:pPr>
              <w:jc w:val="center"/>
            </w:pPr>
          </w:p>
          <w:p w:rsidR="0033350F" w:rsidRDefault="0033350F" w:rsidP="0008095A">
            <w:pPr>
              <w:jc w:val="center"/>
            </w:pPr>
          </w:p>
          <w:p w:rsidR="0033350F" w:rsidRDefault="0033350F" w:rsidP="0008095A">
            <w:pPr>
              <w:jc w:val="center"/>
            </w:pPr>
          </w:p>
          <w:p w:rsidR="0033350F" w:rsidRDefault="0033350F" w:rsidP="0008095A">
            <w:pPr>
              <w:jc w:val="center"/>
            </w:pPr>
          </w:p>
          <w:p w:rsidR="0033350F" w:rsidRDefault="0033350F" w:rsidP="0008095A">
            <w:pPr>
              <w:jc w:val="center"/>
            </w:pPr>
          </w:p>
          <w:p w:rsidR="0033350F" w:rsidRDefault="0033350F" w:rsidP="0008095A">
            <w:pPr>
              <w:jc w:val="center"/>
            </w:pPr>
          </w:p>
          <w:p w:rsidR="0033350F" w:rsidRDefault="0033350F" w:rsidP="0008095A">
            <w:pPr>
              <w:jc w:val="center"/>
            </w:pPr>
          </w:p>
          <w:p w:rsidR="0033350F" w:rsidRDefault="0033350F" w:rsidP="0008095A">
            <w:pPr>
              <w:jc w:val="center"/>
            </w:pPr>
          </w:p>
          <w:p w:rsidR="0033350F" w:rsidRDefault="0033350F" w:rsidP="0008095A">
            <w:pPr>
              <w:jc w:val="center"/>
            </w:pPr>
          </w:p>
          <w:p w:rsidR="0033350F" w:rsidRDefault="0033350F" w:rsidP="0008095A">
            <w:pPr>
              <w:jc w:val="center"/>
            </w:pPr>
            <w:r>
              <w:t>Izteiktais viedoklis</w:t>
            </w:r>
            <w:r w:rsidRPr="0033350F">
              <w:t xml:space="preserve"> neattiecas uz Valsts civilās  aizsardzības plānā iekļaujamajiem pasākumiem.</w:t>
            </w:r>
          </w:p>
          <w:p w:rsidR="0033350F" w:rsidRDefault="0033350F" w:rsidP="0008095A">
            <w:pPr>
              <w:jc w:val="center"/>
            </w:pPr>
          </w:p>
          <w:p w:rsidR="0033350F" w:rsidRDefault="0033350F" w:rsidP="0008095A">
            <w:pPr>
              <w:jc w:val="center"/>
            </w:pPr>
          </w:p>
          <w:p w:rsidR="0033350F" w:rsidRDefault="0033350F" w:rsidP="0008095A">
            <w:pPr>
              <w:jc w:val="center"/>
            </w:pPr>
          </w:p>
          <w:p w:rsidR="0033350F" w:rsidRDefault="0033350F" w:rsidP="0008095A">
            <w:pPr>
              <w:jc w:val="center"/>
            </w:pPr>
          </w:p>
          <w:p w:rsidR="0033350F" w:rsidRDefault="0033350F" w:rsidP="0008095A">
            <w:pPr>
              <w:jc w:val="center"/>
            </w:pPr>
          </w:p>
          <w:p w:rsidR="0033350F" w:rsidRDefault="0033350F" w:rsidP="0008095A">
            <w:pPr>
              <w:jc w:val="center"/>
            </w:pPr>
          </w:p>
          <w:p w:rsidR="0033350F" w:rsidRDefault="0033350F" w:rsidP="0008095A">
            <w:pPr>
              <w:jc w:val="center"/>
            </w:pPr>
          </w:p>
          <w:p w:rsidR="0033350F" w:rsidRDefault="0033350F" w:rsidP="0008095A">
            <w:pPr>
              <w:jc w:val="center"/>
            </w:pPr>
          </w:p>
          <w:p w:rsidR="0033350F" w:rsidRDefault="0033350F" w:rsidP="0008095A">
            <w:pPr>
              <w:jc w:val="center"/>
            </w:pPr>
          </w:p>
          <w:p w:rsidR="0033350F" w:rsidRDefault="0033350F" w:rsidP="0008095A">
            <w:pPr>
              <w:jc w:val="center"/>
            </w:pPr>
          </w:p>
          <w:p w:rsidR="0033350F" w:rsidRDefault="0033350F" w:rsidP="0008095A">
            <w:pPr>
              <w:jc w:val="center"/>
            </w:pPr>
          </w:p>
          <w:p w:rsidR="0033350F" w:rsidRDefault="0033350F" w:rsidP="0008095A">
            <w:pPr>
              <w:jc w:val="center"/>
            </w:pPr>
          </w:p>
          <w:p w:rsidR="0033350F" w:rsidRDefault="0033350F" w:rsidP="0008095A">
            <w:pPr>
              <w:jc w:val="center"/>
            </w:pPr>
          </w:p>
          <w:p w:rsidR="0033350F" w:rsidRDefault="0033350F" w:rsidP="0008095A">
            <w:pPr>
              <w:jc w:val="center"/>
            </w:pPr>
          </w:p>
          <w:p w:rsidR="0033350F" w:rsidRDefault="0033350F" w:rsidP="0008095A">
            <w:pPr>
              <w:jc w:val="center"/>
            </w:pPr>
          </w:p>
          <w:p w:rsidR="0033350F" w:rsidRDefault="0033350F" w:rsidP="0008095A">
            <w:pPr>
              <w:jc w:val="center"/>
            </w:pPr>
          </w:p>
        </w:tc>
      </w:tr>
      <w:tr w:rsidR="009E7169" w:rsidTr="004673A2">
        <w:tc>
          <w:tcPr>
            <w:tcW w:w="750" w:type="dxa"/>
            <w:shd w:val="clear" w:color="auto" w:fill="FFFFFF"/>
            <w:noWrap/>
            <w:tcMar>
              <w:top w:w="75" w:type="dxa"/>
              <w:left w:w="75" w:type="dxa"/>
              <w:bottom w:w="75" w:type="dxa"/>
              <w:right w:w="75" w:type="dxa"/>
            </w:tcMar>
          </w:tcPr>
          <w:p w:rsidR="009E7169" w:rsidRDefault="001B1BCB" w:rsidP="004673A2">
            <w:pPr>
              <w:jc w:val="center"/>
            </w:pPr>
            <w:r>
              <w:lastRenderedPageBreak/>
              <w:t>3.</w:t>
            </w:r>
          </w:p>
        </w:tc>
        <w:tc>
          <w:tcPr>
            <w:tcW w:w="4055" w:type="dxa"/>
            <w:shd w:val="clear" w:color="auto" w:fill="FFFFFF"/>
            <w:noWrap/>
            <w:tcMar>
              <w:top w:w="75" w:type="dxa"/>
              <w:left w:w="75" w:type="dxa"/>
              <w:bottom w:w="75" w:type="dxa"/>
              <w:right w:w="75" w:type="dxa"/>
            </w:tcMar>
          </w:tcPr>
          <w:p w:rsidR="009E7169" w:rsidRDefault="001B1BCB" w:rsidP="004673A2">
            <w:pPr>
              <w:jc w:val="center"/>
            </w:pPr>
            <w:r>
              <w:t xml:space="preserve">Drošības profesionāļu asociācija, Inga </w:t>
            </w:r>
            <w:proofErr w:type="spellStart"/>
            <w:r>
              <w:t>Ezerose</w:t>
            </w:r>
            <w:proofErr w:type="spellEnd"/>
          </w:p>
        </w:tc>
        <w:tc>
          <w:tcPr>
            <w:tcW w:w="4056" w:type="dxa"/>
            <w:shd w:val="clear" w:color="auto" w:fill="FFFFFF"/>
            <w:noWrap/>
            <w:tcMar>
              <w:top w:w="75" w:type="dxa"/>
              <w:left w:w="75" w:type="dxa"/>
              <w:bottom w:w="75" w:type="dxa"/>
              <w:right w:w="75" w:type="dxa"/>
            </w:tcMar>
            <w:vAlign w:val="center"/>
          </w:tcPr>
          <w:p w:rsidR="009E7169" w:rsidRDefault="001B1BCB">
            <w:pPr>
              <w:jc w:val="left"/>
            </w:pPr>
            <w:r>
              <w:t>Lai gan VCAP dokumentā ir uzskaitītas 35 dažādas katastrofas un incidenti, to aptvere nav pilnīga</w:t>
            </w:r>
            <w:r w:rsidRPr="004673A2">
              <w:rPr>
                <w:color w:val="000000" w:themeColor="text1"/>
              </w:rPr>
              <w:t xml:space="preserve">. Sarakstā nav </w:t>
            </w:r>
            <w:r>
              <w:t>iekļauti būtiski un mūsdienīgi apdraudējumi, piemēram, kiberuzbrukumi, incidenti, kas skar kritisko infrastruktūru, kā arī citi aktuāli riski, kas aktualizējušies pēdējos gados. </w:t>
            </w:r>
            <w:r>
              <w:br/>
              <w:t xml:space="preserve">Vēl būtiski norādīt, ka VCAP trūkst skaidra ietvara, kas nodrošinātu uzņēmumu aktīvu un koordinētu iesaisti valsts drošības un civilās aizsardzības pasākumos. Pašlaik nav izstrādāts mehānisms, kas ļautu integrēt uzņēmumu plānus un rīcības algoritmus ar </w:t>
            </w:r>
            <w:r>
              <w:lastRenderedPageBreak/>
              <w:t>pašvaldību civilās aizsardzības plāniem, un otrādi.</w:t>
            </w:r>
          </w:p>
        </w:tc>
        <w:tc>
          <w:tcPr>
            <w:tcW w:w="1650" w:type="dxa"/>
            <w:shd w:val="clear" w:color="auto" w:fill="FFFFFF"/>
            <w:noWrap/>
            <w:tcMar>
              <w:top w:w="75" w:type="dxa"/>
              <w:left w:w="75" w:type="dxa"/>
              <w:bottom w:w="75" w:type="dxa"/>
              <w:right w:w="75" w:type="dxa"/>
            </w:tcMar>
          </w:tcPr>
          <w:p w:rsidR="009E7169" w:rsidRDefault="004673A2" w:rsidP="004673A2">
            <w:pPr>
              <w:jc w:val="center"/>
            </w:pPr>
            <w:r w:rsidRPr="0033350F">
              <w:lastRenderedPageBreak/>
              <w:t>Nav ņemts vērā</w:t>
            </w:r>
          </w:p>
        </w:tc>
        <w:tc>
          <w:tcPr>
            <w:tcW w:w="4056" w:type="dxa"/>
            <w:shd w:val="clear" w:color="auto" w:fill="FFFFFF"/>
            <w:noWrap/>
            <w:tcMar>
              <w:top w:w="75" w:type="dxa"/>
              <w:left w:w="75" w:type="dxa"/>
              <w:bottom w:w="75" w:type="dxa"/>
              <w:right w:w="75" w:type="dxa"/>
            </w:tcMar>
          </w:tcPr>
          <w:p w:rsidR="004673A2" w:rsidRDefault="005B4FD3" w:rsidP="004673A2">
            <w:r>
              <w:t>Valsts civilās aizsardzības plāna tvērums attiecas uz katastrofām, kas izriet no Civilās aizsardzības un katastrofas pārvaldīšanas likuma 4.pantā ”</w:t>
            </w:r>
            <w:r w:rsidRPr="005B4FD3">
              <w:t>Katastrofu veidi un mērogi</w:t>
            </w:r>
            <w:r>
              <w:t xml:space="preserve">” noteiktā regulējuma.  </w:t>
            </w:r>
          </w:p>
          <w:p w:rsidR="009E7169" w:rsidRDefault="009E7169" w:rsidP="004673A2"/>
        </w:tc>
      </w:tr>
      <w:tr w:rsidR="009E7169" w:rsidTr="003F6FC7">
        <w:tc>
          <w:tcPr>
            <w:tcW w:w="750" w:type="dxa"/>
            <w:shd w:val="clear" w:color="auto" w:fill="FFFFFF"/>
            <w:noWrap/>
            <w:tcMar>
              <w:top w:w="75" w:type="dxa"/>
              <w:left w:w="75" w:type="dxa"/>
              <w:bottom w:w="75" w:type="dxa"/>
              <w:right w:w="75" w:type="dxa"/>
            </w:tcMar>
          </w:tcPr>
          <w:p w:rsidR="009E7169" w:rsidRDefault="001B1BCB" w:rsidP="00ED4547">
            <w:pPr>
              <w:jc w:val="center"/>
            </w:pPr>
            <w:r>
              <w:t>4.</w:t>
            </w:r>
          </w:p>
        </w:tc>
        <w:tc>
          <w:tcPr>
            <w:tcW w:w="4055" w:type="dxa"/>
            <w:shd w:val="clear" w:color="auto" w:fill="FFFFFF"/>
            <w:noWrap/>
            <w:tcMar>
              <w:top w:w="75" w:type="dxa"/>
              <w:left w:w="75" w:type="dxa"/>
              <w:bottom w:w="75" w:type="dxa"/>
              <w:right w:w="75" w:type="dxa"/>
            </w:tcMar>
          </w:tcPr>
          <w:p w:rsidR="009E7169" w:rsidRDefault="001B1BCB" w:rsidP="00ED4547">
            <w:pPr>
              <w:jc w:val="center"/>
            </w:pPr>
            <w:r>
              <w:t>*AS "Sadales tīkls"</w:t>
            </w:r>
          </w:p>
        </w:tc>
        <w:tc>
          <w:tcPr>
            <w:tcW w:w="4056" w:type="dxa"/>
            <w:shd w:val="clear" w:color="auto" w:fill="FFFFFF"/>
            <w:noWrap/>
            <w:tcMar>
              <w:top w:w="75" w:type="dxa"/>
              <w:left w:w="75" w:type="dxa"/>
              <w:bottom w:w="75" w:type="dxa"/>
              <w:right w:w="75" w:type="dxa"/>
            </w:tcMar>
            <w:vAlign w:val="center"/>
          </w:tcPr>
          <w:p w:rsidR="009E7169" w:rsidRDefault="001B1BCB">
            <w:pPr>
              <w:jc w:val="left"/>
            </w:pPr>
            <w:r>
              <w:t xml:space="preserve">1) VCAP </w:t>
            </w:r>
            <w:r w:rsidRPr="00305C63">
              <w:rPr>
                <w:color w:val="000000" w:themeColor="text1"/>
              </w:rPr>
              <w:t xml:space="preserve">19.pielikumā būtu </w:t>
            </w:r>
            <w:r>
              <w:t xml:space="preserve">nepieciešams atjaunot riska kopsavilkumā minēto informāciju un datus, kas šobrīd jau ir zaudējuši savu aktualitāti. Riska kopsavilkuma apraksts, ņemot vērā aktuālo </w:t>
            </w:r>
            <w:proofErr w:type="spellStart"/>
            <w:r>
              <w:t>drošībassituāciju</w:t>
            </w:r>
            <w:proofErr w:type="spellEnd"/>
            <w:r>
              <w:t xml:space="preserve">, būtu papildināms ar jauniem elektrotīklu darbības apdraudējumiem, jo līdzšinējais novērtējums un veicamo pasākumu kopums VCAP 19.pielikumā ir bijis orientēts tikai uz dabas </w:t>
            </w:r>
            <w:proofErr w:type="spellStart"/>
            <w:r>
              <w:t>pastākļu</w:t>
            </w:r>
            <w:proofErr w:type="spellEnd"/>
            <w:r>
              <w:t xml:space="preserve"> izraisītiem elektrotīkla bojājumiem. Atbilstoši papildināmiem apdraudējumu veidiem, būtu nepieciešamas arī pārskatīt un papildināt VCAP 19.pielikumā uzskaitīto preventīvo un reaģēšanas pasākumu uzskaitījumu. Kopš plāna izdošanas ir mainījušies ar nozari saistītie attīstības plānošanas dokumenti, tāpēc būtu </w:t>
            </w:r>
            <w:r>
              <w:lastRenderedPageBreak/>
              <w:t xml:space="preserve">precizējamas un papildināmas atsauces uz uzskaitītajiem dokumentiem. AS "Sadales tīkls" ir sagatavojusi </w:t>
            </w:r>
            <w:proofErr w:type="spellStart"/>
            <w:r>
              <w:t>sagatavojusi</w:t>
            </w:r>
            <w:proofErr w:type="spellEnd"/>
            <w:r>
              <w:t xml:space="preserve"> atjauninātu informāciju VCAP 19.pielikuma precizēšanai un to ir gatava iesniegt izvērtēšanai, jo neredzam tehniskas iespējas šādu informāciju pielikumā formā pievienot publiskās apspriešanas laikā TAP portālā.  </w:t>
            </w:r>
            <w:r>
              <w:br/>
            </w:r>
            <w:r>
              <w:br/>
              <w:t xml:space="preserve">2) VCAP ievaddaļā ir noteikts, ka "katastrofas pārvaldīšanas subjekti reizi gadā līdz 20.janvārim izvērtē Valsts civilās aizsardzības plāna izpildi un sniedz priekšlikumus </w:t>
            </w:r>
            <w:proofErr w:type="spellStart"/>
            <w:r>
              <w:t>Iekšlietu</w:t>
            </w:r>
            <w:proofErr w:type="spellEnd"/>
            <w:r>
              <w:t xml:space="preserve"> ministrijai par nepieciešamajiem grozījumiem". Iepriekšējos gados veicot informācijas apkopošanu ikgadējā novērtējuma sagatavošanai esam secinājuši, ka noteiktais termiņš ierobežo iespējas sniegt pilnīgu un precīzu statistisko informāciju par </w:t>
            </w:r>
            <w:proofErr w:type="spellStart"/>
            <w:r>
              <w:t>ieprieksējā</w:t>
            </w:r>
            <w:proofErr w:type="spellEnd"/>
            <w:r>
              <w:t xml:space="preserve"> gadā īstenotajiem plāna izpildes pasākumiem, jo janvāra mēnesī vēl turpinās </w:t>
            </w:r>
            <w:r>
              <w:lastRenderedPageBreak/>
              <w:t xml:space="preserve">tehnisko un finanšu datu apkopošana (piemēram, pārbūvēto elektrolīniju apjomi, bojājumu skaita, elektroapgādes pārtraukumu datu </w:t>
            </w:r>
            <w:proofErr w:type="spellStart"/>
            <w:r>
              <w:t>apkopošna</w:t>
            </w:r>
            <w:proofErr w:type="spellEnd"/>
            <w:r>
              <w:t xml:space="preserve"> un analīze, u.tml.). Aicinām izvērtēt iespēju pārcelt </w:t>
            </w:r>
            <w:proofErr w:type="spellStart"/>
            <w:r>
              <w:t>izvērtējuma</w:t>
            </w:r>
            <w:proofErr w:type="spellEnd"/>
            <w:r>
              <w:t xml:space="preserve"> termiņu vismaz par vienu mēnesi, līdz 20.februārim, kas ļautu iesniegt </w:t>
            </w:r>
            <w:proofErr w:type="spellStart"/>
            <w:r>
              <w:t>precžiāko</w:t>
            </w:r>
            <w:proofErr w:type="spellEnd"/>
            <w:r>
              <w:t xml:space="preserve"> un aktuālāko informāciju par iepriekšējā gada rezultātiem un pasākumu plānā veiktajām aktivitātēm.</w:t>
            </w:r>
          </w:p>
        </w:tc>
        <w:tc>
          <w:tcPr>
            <w:tcW w:w="1650" w:type="dxa"/>
            <w:shd w:val="clear" w:color="auto" w:fill="FFFFFF"/>
            <w:noWrap/>
            <w:tcMar>
              <w:top w:w="75" w:type="dxa"/>
              <w:left w:w="75" w:type="dxa"/>
              <w:bottom w:w="75" w:type="dxa"/>
              <w:right w:w="75" w:type="dxa"/>
            </w:tcMar>
          </w:tcPr>
          <w:p w:rsidR="009E7169" w:rsidRDefault="003F6FC7" w:rsidP="00305C63">
            <w:pPr>
              <w:jc w:val="center"/>
            </w:pPr>
            <w:r>
              <w:lastRenderedPageBreak/>
              <w:t xml:space="preserve">Ņemts </w:t>
            </w:r>
            <w:r w:rsidR="00305C63" w:rsidRPr="00305C63">
              <w:t>vērā</w:t>
            </w:r>
          </w:p>
          <w:p w:rsidR="005D7033" w:rsidRDefault="005D7033" w:rsidP="00305C63">
            <w:pPr>
              <w:jc w:val="center"/>
            </w:pPr>
          </w:p>
          <w:p w:rsidR="005D7033" w:rsidRDefault="005D7033" w:rsidP="00305C63">
            <w:pPr>
              <w:jc w:val="center"/>
            </w:pPr>
          </w:p>
          <w:p w:rsidR="005D7033" w:rsidRDefault="005D7033" w:rsidP="00305C63">
            <w:pPr>
              <w:jc w:val="center"/>
            </w:pPr>
          </w:p>
          <w:p w:rsidR="005D7033" w:rsidRDefault="005D7033" w:rsidP="00305C63">
            <w:pPr>
              <w:jc w:val="center"/>
            </w:pPr>
          </w:p>
          <w:p w:rsidR="005D7033" w:rsidRDefault="005D7033" w:rsidP="00305C63">
            <w:pPr>
              <w:jc w:val="center"/>
            </w:pPr>
          </w:p>
          <w:p w:rsidR="005D7033" w:rsidRDefault="005D7033" w:rsidP="00305C63">
            <w:pPr>
              <w:jc w:val="center"/>
            </w:pPr>
          </w:p>
          <w:p w:rsidR="005D7033" w:rsidRDefault="005D7033" w:rsidP="00305C63">
            <w:pPr>
              <w:jc w:val="center"/>
            </w:pPr>
          </w:p>
          <w:p w:rsidR="005D7033" w:rsidRDefault="005D7033" w:rsidP="00305C63">
            <w:pPr>
              <w:jc w:val="center"/>
            </w:pPr>
          </w:p>
          <w:p w:rsidR="005D7033" w:rsidRDefault="005D7033" w:rsidP="00305C63">
            <w:pPr>
              <w:jc w:val="center"/>
            </w:pPr>
          </w:p>
          <w:p w:rsidR="005D7033" w:rsidRDefault="005D7033" w:rsidP="00305C63">
            <w:pPr>
              <w:jc w:val="center"/>
            </w:pPr>
          </w:p>
          <w:p w:rsidR="005D7033" w:rsidRDefault="005D7033" w:rsidP="00305C63">
            <w:pPr>
              <w:jc w:val="center"/>
            </w:pPr>
          </w:p>
          <w:p w:rsidR="005D7033" w:rsidRDefault="005D7033" w:rsidP="00305C63">
            <w:pPr>
              <w:jc w:val="center"/>
            </w:pPr>
          </w:p>
          <w:p w:rsidR="005D7033" w:rsidRDefault="005D7033" w:rsidP="00305C63">
            <w:pPr>
              <w:jc w:val="center"/>
            </w:pPr>
          </w:p>
          <w:p w:rsidR="005D7033" w:rsidRDefault="005D7033" w:rsidP="00305C63">
            <w:pPr>
              <w:jc w:val="center"/>
            </w:pPr>
          </w:p>
          <w:p w:rsidR="005D7033" w:rsidRDefault="005D7033" w:rsidP="00305C63">
            <w:pPr>
              <w:jc w:val="center"/>
            </w:pPr>
          </w:p>
          <w:p w:rsidR="005D7033" w:rsidRDefault="005D7033" w:rsidP="00305C63">
            <w:pPr>
              <w:jc w:val="center"/>
            </w:pPr>
          </w:p>
          <w:p w:rsidR="005D7033" w:rsidRDefault="005D7033" w:rsidP="00305C63">
            <w:pPr>
              <w:jc w:val="center"/>
            </w:pPr>
          </w:p>
          <w:p w:rsidR="005D7033" w:rsidRDefault="005D7033" w:rsidP="00305C63">
            <w:pPr>
              <w:jc w:val="center"/>
            </w:pPr>
          </w:p>
          <w:p w:rsidR="005D7033" w:rsidRDefault="005D7033" w:rsidP="00305C63">
            <w:pPr>
              <w:jc w:val="center"/>
            </w:pPr>
          </w:p>
          <w:p w:rsidR="005D7033" w:rsidRDefault="005D7033" w:rsidP="00305C63">
            <w:pPr>
              <w:jc w:val="center"/>
            </w:pPr>
          </w:p>
          <w:p w:rsidR="005D7033" w:rsidRDefault="005D7033" w:rsidP="00305C63">
            <w:pPr>
              <w:jc w:val="center"/>
            </w:pPr>
          </w:p>
          <w:p w:rsidR="005D7033" w:rsidRDefault="005D7033" w:rsidP="00305C63">
            <w:pPr>
              <w:jc w:val="center"/>
            </w:pPr>
          </w:p>
          <w:p w:rsidR="005D7033" w:rsidRDefault="005D7033" w:rsidP="00305C63">
            <w:pPr>
              <w:jc w:val="center"/>
            </w:pPr>
          </w:p>
          <w:p w:rsidR="005D7033" w:rsidRDefault="005D7033" w:rsidP="00305C63">
            <w:pPr>
              <w:jc w:val="center"/>
            </w:pPr>
          </w:p>
          <w:p w:rsidR="005D7033" w:rsidRDefault="005D7033" w:rsidP="00305C63">
            <w:pPr>
              <w:jc w:val="center"/>
            </w:pPr>
          </w:p>
          <w:p w:rsidR="005D7033" w:rsidRDefault="005D7033" w:rsidP="00305C63">
            <w:pPr>
              <w:jc w:val="center"/>
            </w:pPr>
          </w:p>
          <w:p w:rsidR="005D7033" w:rsidRDefault="005D7033" w:rsidP="00305C63">
            <w:pPr>
              <w:jc w:val="center"/>
            </w:pPr>
          </w:p>
          <w:p w:rsidR="005D7033" w:rsidRDefault="005D7033" w:rsidP="00305C63">
            <w:pPr>
              <w:jc w:val="center"/>
            </w:pPr>
          </w:p>
          <w:p w:rsidR="005D7033" w:rsidRDefault="005D7033" w:rsidP="00305C63">
            <w:pPr>
              <w:jc w:val="center"/>
            </w:pPr>
          </w:p>
          <w:p w:rsidR="005D7033" w:rsidRDefault="005D7033" w:rsidP="00305C63">
            <w:pPr>
              <w:jc w:val="center"/>
            </w:pPr>
          </w:p>
          <w:p w:rsidR="005D7033" w:rsidRDefault="005D7033" w:rsidP="00305C63">
            <w:pPr>
              <w:jc w:val="center"/>
            </w:pPr>
          </w:p>
          <w:p w:rsidR="005D7033" w:rsidRDefault="005D7033" w:rsidP="00305C63">
            <w:pPr>
              <w:jc w:val="center"/>
            </w:pPr>
          </w:p>
          <w:p w:rsidR="005D7033" w:rsidRDefault="005D7033" w:rsidP="00305C63">
            <w:pPr>
              <w:jc w:val="center"/>
            </w:pPr>
          </w:p>
          <w:p w:rsidR="005D7033" w:rsidRDefault="005D7033" w:rsidP="00305C63">
            <w:pPr>
              <w:jc w:val="center"/>
            </w:pPr>
          </w:p>
          <w:p w:rsidR="005D7033" w:rsidRDefault="005D7033" w:rsidP="00305C63">
            <w:pPr>
              <w:jc w:val="center"/>
            </w:pPr>
          </w:p>
          <w:p w:rsidR="0008095A" w:rsidRDefault="0008095A" w:rsidP="00305C63">
            <w:pPr>
              <w:jc w:val="center"/>
            </w:pPr>
          </w:p>
          <w:p w:rsidR="005D7033" w:rsidRDefault="005D7033" w:rsidP="0008095A">
            <w:pPr>
              <w:jc w:val="center"/>
            </w:pPr>
            <w:r w:rsidRPr="0033350F">
              <w:t>Nav ņemts vērā</w:t>
            </w:r>
          </w:p>
        </w:tc>
        <w:tc>
          <w:tcPr>
            <w:tcW w:w="4056" w:type="dxa"/>
            <w:shd w:val="clear" w:color="auto" w:fill="FFFFFF"/>
            <w:noWrap/>
            <w:tcMar>
              <w:top w:w="75" w:type="dxa"/>
              <w:left w:w="75" w:type="dxa"/>
              <w:bottom w:w="75" w:type="dxa"/>
              <w:right w:w="75" w:type="dxa"/>
            </w:tcMar>
          </w:tcPr>
          <w:p w:rsidR="009E7169" w:rsidRDefault="003F6FC7" w:rsidP="003F6FC7">
            <w:r>
              <w:lastRenderedPageBreak/>
              <w:t xml:space="preserve">AS "Sadales tīkls" </w:t>
            </w:r>
            <w:r w:rsidRPr="003F6FC7">
              <w:t>informācij</w:t>
            </w:r>
            <w:r>
              <w:t>a</w:t>
            </w:r>
            <w:r w:rsidRPr="003F6FC7">
              <w:t xml:space="preserve"> VCAP 19.pielikuma precizēšanai</w:t>
            </w:r>
            <w:r>
              <w:t xml:space="preserve"> tiks izvērtēta pēc tās saņemšanas. </w:t>
            </w:r>
          </w:p>
          <w:p w:rsidR="003F6FC7" w:rsidRDefault="003F6FC7" w:rsidP="003F6FC7">
            <w:r>
              <w:t xml:space="preserve">Norādāms, ka Civilās aizsardzības un katastrofas pārvaldīšanas likuma 24.panta sestā daļa noteic, ka </w:t>
            </w:r>
            <w:r w:rsidRPr="00820371">
              <w:rPr>
                <w:b/>
                <w:i/>
              </w:rPr>
              <w:t>katastrofas pārvaldīšanas subjekts</w:t>
            </w:r>
            <w:r w:rsidRPr="003F6FC7">
              <w:rPr>
                <w:i/>
              </w:rPr>
              <w:t xml:space="preserve"> </w:t>
            </w:r>
            <w:r w:rsidRPr="003F6FC7">
              <w:rPr>
                <w:b/>
                <w:i/>
              </w:rPr>
              <w:t>reizi gadā līdz 20.janvārim</w:t>
            </w:r>
            <w:r w:rsidRPr="003F6FC7">
              <w:rPr>
                <w:i/>
              </w:rPr>
              <w:t xml:space="preserve"> izvērtē savas iespējas vajadzības gadījumā sniegt starptautisko palīdzību katastrofas skartai vai krīzes situācijā nonākušai valstij un iesniedz attiecīgo informāciju </w:t>
            </w:r>
            <w:proofErr w:type="spellStart"/>
            <w:r w:rsidRPr="003F6FC7">
              <w:rPr>
                <w:i/>
              </w:rPr>
              <w:t>Iekšlietu</w:t>
            </w:r>
            <w:proofErr w:type="spellEnd"/>
            <w:r w:rsidRPr="003F6FC7">
              <w:rPr>
                <w:i/>
              </w:rPr>
              <w:t xml:space="preserve"> ministrijai kopā ar informāciju par valsts civilās aizsardzības plāna izpildi un priekšlikumiem par valsts civilās aizsardzības plānā nepieciešamajiem grozījumiem</w:t>
            </w:r>
            <w:r w:rsidRPr="003F6FC7">
              <w:t>.</w:t>
            </w:r>
          </w:p>
          <w:p w:rsidR="0008095A" w:rsidRDefault="0008095A" w:rsidP="003F6FC7"/>
          <w:p w:rsidR="0008095A" w:rsidRDefault="0008095A" w:rsidP="003F6FC7"/>
          <w:p w:rsidR="0008095A" w:rsidRDefault="0008095A" w:rsidP="003F6FC7"/>
          <w:p w:rsidR="0008095A" w:rsidRDefault="0008095A" w:rsidP="003F6FC7"/>
          <w:p w:rsidR="0008095A" w:rsidRDefault="0008095A" w:rsidP="003F6FC7"/>
          <w:p w:rsidR="0008095A" w:rsidRDefault="0008095A" w:rsidP="003F6FC7"/>
          <w:p w:rsidR="0008095A" w:rsidRDefault="0008095A" w:rsidP="003F6FC7"/>
          <w:p w:rsidR="0008095A" w:rsidRDefault="0008095A" w:rsidP="003F6FC7"/>
          <w:p w:rsidR="0008095A" w:rsidRDefault="0008095A" w:rsidP="003F6FC7"/>
          <w:p w:rsidR="0008095A" w:rsidRDefault="0008095A" w:rsidP="003F6FC7"/>
          <w:p w:rsidR="0008095A" w:rsidRDefault="0008095A" w:rsidP="003F6FC7"/>
          <w:p w:rsidR="0008095A" w:rsidRDefault="0008095A" w:rsidP="003F6FC7"/>
          <w:p w:rsidR="0008095A" w:rsidRDefault="0008095A" w:rsidP="003F6FC7"/>
          <w:p w:rsidR="0008095A" w:rsidRDefault="0008095A" w:rsidP="003F6FC7"/>
          <w:p w:rsidR="0008095A" w:rsidRDefault="0008095A" w:rsidP="003F6FC7"/>
          <w:p w:rsidR="0008095A" w:rsidRDefault="0008095A" w:rsidP="003F6FC7"/>
          <w:p w:rsidR="0008095A" w:rsidRDefault="0008095A" w:rsidP="003F6FC7"/>
          <w:p w:rsidR="0008095A" w:rsidRDefault="0008095A" w:rsidP="003F6FC7"/>
          <w:p w:rsidR="0008095A" w:rsidRDefault="0008095A" w:rsidP="003F6FC7">
            <w:r>
              <w:t xml:space="preserve">Valsts civilās aizsardzības plāna ievaddaļā iekļauta informācija par </w:t>
            </w:r>
            <w:r w:rsidRPr="0008095A">
              <w:t>Civilās aizsardzības un katastrofas pārvaldīšanas likuma 24.panta sest</w:t>
            </w:r>
            <w:r>
              <w:t>aj</w:t>
            </w:r>
            <w:r w:rsidRPr="0008095A">
              <w:t>ā daļ</w:t>
            </w:r>
            <w:r>
              <w:t xml:space="preserve">ā noteikto regulējumu. </w:t>
            </w:r>
            <w:r w:rsidRPr="0008095A">
              <w:t>AS "Sadales tīkls"</w:t>
            </w:r>
            <w:r>
              <w:t xml:space="preserve"> ierosinājums par datuma maiņu nav izpildāms ar grozījumiem Valsts civilās aizsardzības plānā. </w:t>
            </w:r>
          </w:p>
        </w:tc>
      </w:tr>
    </w:tbl>
    <w:p w:rsidR="009E7169" w:rsidRDefault="009E7169"/>
    <w:tbl>
      <w:tblPr>
        <w:tblStyle w:val="a"/>
        <w:tblW w:w="14567" w:type="dxa"/>
        <w:tblLayout w:type="fixed"/>
        <w:tblLook w:val="0600" w:firstRow="0" w:lastRow="0" w:firstColumn="0" w:lastColumn="0" w:noHBand="1" w:noVBand="1"/>
      </w:tblPr>
      <w:tblGrid>
        <w:gridCol w:w="4855"/>
        <w:gridCol w:w="4856"/>
        <w:gridCol w:w="4856"/>
      </w:tblGrid>
      <w:tr w:rsidR="009E7169">
        <w:tc>
          <w:tcPr>
            <w:tcW w:w="4855" w:type="dxa"/>
            <w:shd w:val="clear" w:color="auto" w:fill="FFFFFF"/>
            <w:noWrap/>
            <w:tcMar>
              <w:top w:w="75" w:type="dxa"/>
              <w:left w:w="75" w:type="dxa"/>
              <w:bottom w:w="75" w:type="dxa"/>
              <w:right w:w="75" w:type="dxa"/>
            </w:tcMar>
            <w:vAlign w:val="center"/>
          </w:tcPr>
          <w:p w:rsidR="009E7169" w:rsidRDefault="001B1BCB">
            <w:pPr>
              <w:jc w:val="left"/>
            </w:pPr>
            <w:r>
              <w:t>Datums**</w:t>
            </w:r>
          </w:p>
        </w:tc>
        <w:tc>
          <w:tcPr>
            <w:tcW w:w="4856" w:type="dxa"/>
            <w:shd w:val="clear" w:color="auto" w:fill="FFFFFF"/>
            <w:noWrap/>
            <w:tcMar>
              <w:top w:w="75" w:type="dxa"/>
              <w:left w:w="75" w:type="dxa"/>
              <w:bottom w:w="75" w:type="dxa"/>
              <w:right w:w="75" w:type="dxa"/>
            </w:tcMar>
            <w:vAlign w:val="center"/>
          </w:tcPr>
          <w:p w:rsidR="009E7169" w:rsidRDefault="009E7169">
            <w:pPr>
              <w:pBdr>
                <w:bottom w:val="single" w:sz="10" w:space="1" w:color="000000"/>
              </w:pBdr>
            </w:pPr>
          </w:p>
        </w:tc>
        <w:tc>
          <w:tcPr>
            <w:tcW w:w="4856" w:type="dxa"/>
            <w:shd w:val="clear" w:color="auto" w:fill="FFFFFF"/>
            <w:noWrap/>
            <w:tcMar>
              <w:top w:w="75" w:type="dxa"/>
              <w:left w:w="75" w:type="dxa"/>
              <w:bottom w:w="75" w:type="dxa"/>
              <w:right w:w="75" w:type="dxa"/>
            </w:tcMar>
            <w:vAlign w:val="center"/>
          </w:tcPr>
          <w:p w:rsidR="009E7169" w:rsidRDefault="009E7169"/>
        </w:tc>
      </w:tr>
      <w:tr w:rsidR="009E7169">
        <w:tc>
          <w:tcPr>
            <w:tcW w:w="4855" w:type="dxa"/>
            <w:shd w:val="clear" w:color="auto" w:fill="FFFFFF"/>
            <w:noWrap/>
            <w:tcMar>
              <w:top w:w="75" w:type="dxa"/>
              <w:left w:w="75" w:type="dxa"/>
              <w:bottom w:w="75" w:type="dxa"/>
              <w:right w:w="75" w:type="dxa"/>
            </w:tcMar>
            <w:vAlign w:val="center"/>
          </w:tcPr>
          <w:p w:rsidR="009E7169" w:rsidRDefault="009E7169"/>
        </w:tc>
        <w:tc>
          <w:tcPr>
            <w:tcW w:w="4856" w:type="dxa"/>
            <w:shd w:val="clear" w:color="auto" w:fill="FFFFFF"/>
            <w:noWrap/>
            <w:tcMar>
              <w:top w:w="75" w:type="dxa"/>
              <w:left w:w="75" w:type="dxa"/>
              <w:bottom w:w="75" w:type="dxa"/>
              <w:right w:w="75" w:type="dxa"/>
            </w:tcMar>
            <w:vAlign w:val="center"/>
          </w:tcPr>
          <w:p w:rsidR="009E7169" w:rsidRDefault="001B1BCB">
            <w:pPr>
              <w:jc w:val="center"/>
            </w:pPr>
            <w:r>
              <w:t>(</w:t>
            </w:r>
            <w:proofErr w:type="spellStart"/>
            <w:r>
              <w:t>dd.mm.gggg</w:t>
            </w:r>
            <w:proofErr w:type="spellEnd"/>
            <w:r>
              <w:t>)</w:t>
            </w:r>
          </w:p>
        </w:tc>
        <w:tc>
          <w:tcPr>
            <w:tcW w:w="4856" w:type="dxa"/>
            <w:shd w:val="clear" w:color="auto" w:fill="FFFFFF"/>
            <w:noWrap/>
            <w:tcMar>
              <w:top w:w="75" w:type="dxa"/>
              <w:left w:w="75" w:type="dxa"/>
              <w:bottom w:w="75" w:type="dxa"/>
              <w:right w:w="75" w:type="dxa"/>
            </w:tcMar>
            <w:vAlign w:val="center"/>
          </w:tcPr>
          <w:p w:rsidR="009E7169" w:rsidRDefault="009E7169"/>
        </w:tc>
      </w:tr>
      <w:tr w:rsidR="009E7169">
        <w:tc>
          <w:tcPr>
            <w:tcW w:w="4855" w:type="dxa"/>
            <w:shd w:val="clear" w:color="auto" w:fill="FFFFFF"/>
            <w:noWrap/>
            <w:tcMar>
              <w:top w:w="75" w:type="dxa"/>
              <w:left w:w="75" w:type="dxa"/>
              <w:bottom w:w="75" w:type="dxa"/>
              <w:right w:w="75" w:type="dxa"/>
            </w:tcMar>
            <w:vAlign w:val="center"/>
          </w:tcPr>
          <w:p w:rsidR="009E7169" w:rsidRDefault="001B1BCB">
            <w:pPr>
              <w:jc w:val="left"/>
            </w:pPr>
            <w:r>
              <w:t>Atbildīgā persona</w:t>
            </w:r>
          </w:p>
        </w:tc>
        <w:tc>
          <w:tcPr>
            <w:tcW w:w="4856" w:type="dxa"/>
            <w:shd w:val="clear" w:color="auto" w:fill="FFFFFF"/>
            <w:noWrap/>
            <w:tcMar>
              <w:top w:w="75" w:type="dxa"/>
              <w:left w:w="75" w:type="dxa"/>
              <w:bottom w:w="75" w:type="dxa"/>
              <w:right w:w="75" w:type="dxa"/>
            </w:tcMar>
            <w:vAlign w:val="center"/>
          </w:tcPr>
          <w:p w:rsidR="009E7169" w:rsidRDefault="009E7169">
            <w:pPr>
              <w:pBdr>
                <w:bottom w:val="single" w:sz="10" w:space="1" w:color="000000"/>
              </w:pBdr>
            </w:pPr>
          </w:p>
        </w:tc>
        <w:tc>
          <w:tcPr>
            <w:tcW w:w="4856" w:type="dxa"/>
            <w:shd w:val="clear" w:color="auto" w:fill="FFFFFF"/>
            <w:noWrap/>
            <w:tcMar>
              <w:top w:w="75" w:type="dxa"/>
              <w:left w:w="75" w:type="dxa"/>
              <w:bottom w:w="75" w:type="dxa"/>
              <w:right w:w="75" w:type="dxa"/>
            </w:tcMar>
            <w:vAlign w:val="center"/>
          </w:tcPr>
          <w:p w:rsidR="009E7169" w:rsidRDefault="009E7169"/>
        </w:tc>
      </w:tr>
      <w:tr w:rsidR="009E7169">
        <w:tc>
          <w:tcPr>
            <w:tcW w:w="4855" w:type="dxa"/>
            <w:shd w:val="clear" w:color="auto" w:fill="FFFFFF"/>
            <w:noWrap/>
            <w:tcMar>
              <w:top w:w="75" w:type="dxa"/>
              <w:left w:w="75" w:type="dxa"/>
              <w:bottom w:w="75" w:type="dxa"/>
              <w:right w:w="75" w:type="dxa"/>
            </w:tcMar>
            <w:vAlign w:val="center"/>
          </w:tcPr>
          <w:p w:rsidR="009E7169" w:rsidRDefault="009E7169"/>
        </w:tc>
        <w:tc>
          <w:tcPr>
            <w:tcW w:w="4856" w:type="dxa"/>
            <w:shd w:val="clear" w:color="auto" w:fill="FFFFFF"/>
            <w:noWrap/>
            <w:tcMar>
              <w:top w:w="75" w:type="dxa"/>
              <w:left w:w="75" w:type="dxa"/>
              <w:bottom w:w="75" w:type="dxa"/>
              <w:right w:w="75" w:type="dxa"/>
            </w:tcMar>
            <w:vAlign w:val="center"/>
          </w:tcPr>
          <w:p w:rsidR="009E7169" w:rsidRDefault="001B1BCB">
            <w:pPr>
              <w:jc w:val="center"/>
            </w:pPr>
            <w:r>
              <w:t>(vārds, uzvārds, paraksts**)</w:t>
            </w:r>
          </w:p>
        </w:tc>
        <w:tc>
          <w:tcPr>
            <w:tcW w:w="4856" w:type="dxa"/>
            <w:shd w:val="clear" w:color="auto" w:fill="FFFFFF"/>
            <w:noWrap/>
            <w:tcMar>
              <w:top w:w="75" w:type="dxa"/>
              <w:left w:w="75" w:type="dxa"/>
              <w:bottom w:w="75" w:type="dxa"/>
              <w:right w:w="75" w:type="dxa"/>
            </w:tcMar>
            <w:vAlign w:val="center"/>
          </w:tcPr>
          <w:p w:rsidR="009E7169" w:rsidRDefault="009E7169"/>
        </w:tc>
      </w:tr>
    </w:tbl>
    <w:p w:rsidR="009E7169" w:rsidRDefault="009E7169"/>
    <w:p w:rsidR="009E7169" w:rsidRDefault="001B1BCB">
      <w:r>
        <w:t>Piezīmes.</w:t>
      </w:r>
    </w:p>
    <w:p w:rsidR="009E7169" w:rsidRDefault="001B1BCB">
      <w:r>
        <w:t>* Iesniedzējs (fiziskai personai – vārds, uzvārds, juridiskai personai – nosaukums) var tikt publiskots, ja viņš tam ir piekritis. Ja attiecināms, iesniedzējs norāda interešu pārstāvja reģistrācijas numuru.</w:t>
      </w:r>
    </w:p>
    <w:p w:rsidR="009E7169" w:rsidRDefault="001B1BCB">
      <w:r>
        <w:t>** Dokumenta rekvizītus "datums" un "paraksts" neaizpilda, ja elektroniskais dokuments ir sagatavots atbilstoši normatīvajiem aktiem par elektronisko dokumentu noformēšanu.</w:t>
      </w:r>
    </w:p>
    <w:sectPr w:rsidR="009E7169">
      <w:headerReference w:type="default" r:id="rId6"/>
      <w:footerReference w:type="default" r:id="rId7"/>
      <w:headerReference w:type="first" r:id="rId8"/>
      <w:footerReference w:type="first" r:id="rId9"/>
      <w:pgSz w:w="16833" w:h="11908" w:orient="landscape"/>
      <w:pgMar w:top="1133" w:right="1133" w:bottom="1133" w:left="1133"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C1266" w:rsidRDefault="001B1BCB">
      <w:r>
        <w:separator/>
      </w:r>
    </w:p>
  </w:endnote>
  <w:endnote w:type="continuationSeparator" w:id="0">
    <w:p w:rsidR="007C1266" w:rsidRDefault="001B1B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Palatino">
    <w:altName w:val="Palatino Linotype"/>
    <w:panose1 w:val="00000000000000000000"/>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E7169" w:rsidRDefault="001B1BCB">
    <w:pPr>
      <w:jc w:val="right"/>
    </w:pPr>
    <w:r>
      <w:rPr>
        <w:sz w:val="24"/>
        <w:szCs w:val="24"/>
      </w:rPr>
      <w:fldChar w:fldCharType="begin"/>
    </w:r>
    <w:r>
      <w:rPr>
        <w:sz w:val="24"/>
        <w:szCs w:val="24"/>
      </w:rPr>
      <w:instrText>PAGE</w:instrText>
    </w:r>
    <w:r>
      <w:rPr>
        <w:sz w:val="24"/>
        <w:szCs w:val="24"/>
      </w:rPr>
      <w:fldChar w:fldCharType="separate"/>
    </w:r>
    <w:r>
      <w:rPr>
        <w:noProof/>
        <w:sz w:val="24"/>
        <w:szCs w:val="24"/>
      </w:rPr>
      <w:t>2</w:t>
    </w:r>
    <w:r>
      <w:rPr>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1266" w:rsidRDefault="001B1BCB">
    <w:r>
      <w:c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C1266" w:rsidRDefault="001B1BCB">
      <w:r>
        <w:separator/>
      </w:r>
    </w:p>
  </w:footnote>
  <w:footnote w:type="continuationSeparator" w:id="0">
    <w:p w:rsidR="007C1266" w:rsidRDefault="001B1B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E7169" w:rsidRDefault="001B1BCB">
    <w:pPr>
      <w:pStyle w:val="Header"/>
      <w:contextualSpacing w:val="0"/>
    </w:pPr>
    <w:r>
      <w:t>Viedokļu pārskats 25-TA-1689</w:t>
    </w:r>
    <w:r>
      <w:br/>
      <w:t>Izdrukāts 19.09.2025. 08.33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E7169" w:rsidRDefault="001B1BCB">
    <w:pPr>
      <w:pStyle w:val="Header"/>
      <w:contextualSpacing w:val="0"/>
    </w:pPr>
    <w:r>
      <w:t>Viedokļu pārskats 25-TA-1689</w:t>
    </w:r>
    <w:r>
      <w:br/>
      <w:t>Izdrukāts 19.09.2025. 08.33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7169"/>
    <w:rsid w:val="000322EA"/>
    <w:rsid w:val="0008095A"/>
    <w:rsid w:val="00181778"/>
    <w:rsid w:val="001B18B6"/>
    <w:rsid w:val="001B1BCB"/>
    <w:rsid w:val="002810F2"/>
    <w:rsid w:val="00287A9C"/>
    <w:rsid w:val="002C5ABD"/>
    <w:rsid w:val="00305C63"/>
    <w:rsid w:val="0033350F"/>
    <w:rsid w:val="003F6FC7"/>
    <w:rsid w:val="004673A2"/>
    <w:rsid w:val="005B4FD3"/>
    <w:rsid w:val="005C46AB"/>
    <w:rsid w:val="005D7033"/>
    <w:rsid w:val="007C1266"/>
    <w:rsid w:val="00820371"/>
    <w:rsid w:val="00965FD1"/>
    <w:rsid w:val="009E7169"/>
    <w:rsid w:val="00B25669"/>
    <w:rsid w:val="00D4305E"/>
    <w:rsid w:val="00D97262"/>
    <w:rsid w:val="00ED4547"/>
    <w:rsid w:val="00F80A68"/>
    <w:rsid w:val="00F81D4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0DCDA54-1B31-4057-8473-2E3D1999F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color w:val="333333"/>
        <w:sz w:val="28"/>
        <w:lang w:val="lv-LV" w:eastAsia="lv-LV"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spacing w:after="120"/>
      <w:contextualSpacing/>
      <w:outlineLvl w:val="0"/>
    </w:pPr>
    <w:rPr>
      <w:rFonts w:ascii="Palatino" w:eastAsia="Palatino" w:hAnsi="Palatino" w:cs="Palatino"/>
      <w:sz w:val="36"/>
    </w:rPr>
  </w:style>
  <w:style w:type="paragraph" w:styleId="Heading2">
    <w:name w:val="heading 2"/>
    <w:basedOn w:val="Normal"/>
    <w:next w:val="Normal"/>
    <w:uiPriority w:val="9"/>
    <w:semiHidden/>
    <w:unhideWhenUsed/>
    <w:qFormat/>
    <w:pPr>
      <w:spacing w:before="120" w:after="160"/>
      <w:contextualSpacing/>
      <w:outlineLvl w:val="1"/>
    </w:pPr>
    <w:rPr>
      <w:rFonts w:ascii="Arial" w:eastAsia="Arial" w:hAnsi="Arial" w:cs="Arial"/>
      <w:b/>
      <w:sz w:val="26"/>
    </w:rPr>
  </w:style>
  <w:style w:type="paragraph" w:styleId="Heading3">
    <w:name w:val="heading 3"/>
    <w:basedOn w:val="Normal"/>
    <w:next w:val="Normal"/>
    <w:uiPriority w:val="9"/>
    <w:semiHidden/>
    <w:unhideWhenUsed/>
    <w:qFormat/>
    <w:pPr>
      <w:spacing w:before="120" w:after="160"/>
      <w:contextualSpacing/>
      <w:outlineLvl w:val="2"/>
    </w:pPr>
    <w:rPr>
      <w:rFonts w:ascii="Arial" w:eastAsia="Arial" w:hAnsi="Arial" w:cs="Arial"/>
      <w:b/>
      <w:i/>
      <w:color w:val="666666"/>
      <w:sz w:val="24"/>
    </w:rPr>
  </w:style>
  <w:style w:type="paragraph" w:styleId="Heading4">
    <w:name w:val="heading 4"/>
    <w:basedOn w:val="Normal"/>
    <w:next w:val="Normal"/>
    <w:uiPriority w:val="9"/>
    <w:semiHidden/>
    <w:unhideWhenUsed/>
    <w:qFormat/>
    <w:pPr>
      <w:spacing w:before="120" w:after="120"/>
      <w:contextualSpacing/>
      <w:outlineLvl w:val="3"/>
    </w:pPr>
    <w:rPr>
      <w:rFonts w:ascii="Palatino" w:eastAsia="Palatino" w:hAnsi="Palatino" w:cs="Palatino"/>
      <w:b/>
      <w:sz w:val="24"/>
    </w:rPr>
  </w:style>
  <w:style w:type="paragraph" w:styleId="Heading5">
    <w:name w:val="heading 5"/>
    <w:basedOn w:val="Normal"/>
    <w:next w:val="Normal"/>
    <w:uiPriority w:val="9"/>
    <w:semiHidden/>
    <w:unhideWhenUsed/>
    <w:qFormat/>
    <w:pPr>
      <w:spacing w:before="120" w:after="120"/>
      <w:contextualSpacing/>
      <w:outlineLvl w:val="4"/>
    </w:pPr>
    <w:rPr>
      <w:rFonts w:ascii="Arial" w:eastAsia="Arial" w:hAnsi="Arial" w:cs="Arial"/>
      <w:b/>
      <w:sz w:val="22"/>
    </w:rPr>
  </w:style>
  <w:style w:type="paragraph" w:styleId="Heading6">
    <w:name w:val="heading 6"/>
    <w:basedOn w:val="Normal"/>
    <w:next w:val="Normal"/>
    <w:uiPriority w:val="9"/>
    <w:semiHidden/>
    <w:unhideWhenUsed/>
    <w:qFormat/>
    <w:pPr>
      <w:spacing w:before="120" w:after="120"/>
      <w:contextualSpacing/>
      <w:outlineLvl w:val="5"/>
    </w:pPr>
    <w:rPr>
      <w:rFonts w:ascii="Arial" w:eastAsia="Arial" w:hAnsi="Arial" w:cs="Arial"/>
      <w:i/>
      <w:color w:val="666666"/>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contextualSpacing/>
    </w:pPr>
    <w:rPr>
      <w:rFonts w:ascii="Palatino" w:eastAsia="Palatino" w:hAnsi="Palatino" w:cs="Palatino"/>
      <w:sz w:val="60"/>
    </w:rPr>
  </w:style>
  <w:style w:type="paragraph" w:styleId="Subtitle">
    <w:name w:val="Subtitle"/>
    <w:basedOn w:val="Normal"/>
    <w:next w:val="Normal"/>
    <w:uiPriority w:val="11"/>
    <w:qFormat/>
    <w:pPr>
      <w:spacing w:before="60"/>
      <w:contextualSpacing/>
    </w:pPr>
    <w:rPr>
      <w:rFonts w:ascii="Arial" w:eastAsia="Arial" w:hAnsi="Arial" w:cs="Arial"/>
    </w:rPr>
  </w:style>
  <w:style w:type="paragraph" w:customStyle="1" w:styleId="paragraph">
    <w:name w:val="paragraph"/>
    <w:basedOn w:val="Normal"/>
    <w:next w:val="Normal"/>
    <w:pPr>
      <w:contextualSpacing/>
    </w:pPr>
  </w:style>
  <w:style w:type="paragraph" w:customStyle="1" w:styleId="paragraphheader">
    <w:name w:val="paragraph_header"/>
    <w:basedOn w:val="Normal"/>
    <w:next w:val="Normal"/>
    <w:pPr>
      <w:spacing w:before="280" w:after="280"/>
      <w:contextualSpacing/>
    </w:pPr>
  </w:style>
  <w:style w:type="paragraph" w:styleId="Header">
    <w:name w:val="header"/>
    <w:basedOn w:val="Normal"/>
    <w:next w:val="Normal"/>
    <w:pPr>
      <w:spacing w:after="280"/>
      <w:contextualSpacing/>
      <w:jc w:val="right"/>
    </w:pPr>
    <w:rPr>
      <w:sz w:val="24"/>
    </w:rPr>
  </w:style>
  <w:style w:type="paragraph" w:customStyle="1" w:styleId="signeddocumentparagraph">
    <w:name w:val="signed_document_paragraph"/>
    <w:basedOn w:val="Normal"/>
    <w:next w:val="Normal"/>
    <w:pPr>
      <w:contextualSpacing/>
      <w:jc w:val="right"/>
    </w:pPr>
    <w:rPr>
      <w:sz w:val="24"/>
    </w:rPr>
  </w:style>
  <w:style w:type="paragraph" w:customStyle="1" w:styleId="boldparagraphheader">
    <w:name w:val="bold_paragraph_header"/>
    <w:basedOn w:val="Normal"/>
    <w:next w:val="Normal"/>
    <w:pPr>
      <w:contextualSpacing/>
      <w:jc w:val="center"/>
    </w:pPr>
    <w:rPr>
      <w:b/>
    </w:rPr>
  </w:style>
  <w:style w:type="table" w:customStyle="1" w:styleId="a">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6034</Words>
  <Characters>3440</Characters>
  <Application>Microsoft Office Word</Application>
  <DocSecurity>0</DocSecurity>
  <Lines>28</Lines>
  <Paragraphs>18</Paragraphs>
  <ScaleCrop>false</ScaleCrop>
  <HeadingPairs>
    <vt:vector size="2" baseType="variant">
      <vt:variant>
        <vt:lpstr>Title</vt:lpstr>
      </vt:variant>
      <vt:variant>
        <vt:i4>1</vt:i4>
      </vt:variant>
    </vt:vector>
  </HeadingPairs>
  <TitlesOfParts>
    <vt:vector size="1" baseType="lpstr">
      <vt:lpstr>viedoklu_parskats_25-TA-1689.docx</vt:lpstr>
    </vt:vector>
  </TitlesOfParts>
  <Company/>
  <LinksUpToDate>false</LinksUpToDate>
  <CharactersWithSpaces>9456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viedoklu_parskats_25-TA-1689.docx</dc:title>
  <dc:creator>Maigurs Ludbāržs</dc:creator>
  <cp:lastModifiedBy>Maigurs Ludbāržs</cp:lastModifiedBy>
  <cp:revision>2</cp:revision>
  <cp:lastPrinted>2025-09-19T05:34:00Z</cp:lastPrinted>
  <dcterms:created xsi:type="dcterms:W3CDTF">2026-05-08T10:17:00Z</dcterms:created>
  <dcterms:modified xsi:type="dcterms:W3CDTF">2026-05-08T10:17:00Z</dcterms:modified>
</cp:coreProperties>
</file>