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823617" w14:textId="77777777" w:rsidR="00FA6D3D" w:rsidRDefault="00F27F72">
      <w:pPr>
        <w:spacing w:after="240"/>
        <w:jc w:val="center"/>
        <w:rPr>
          <w:b/>
        </w:rPr>
      </w:pPr>
      <w:r>
        <w:rPr>
          <w:b/>
        </w:rPr>
        <w:t>“Publiskās apspriešanas laikā 03.05.2024. - 20.05.2024. saņemto viedokļu, priekšlikumu un iebildumu apkopojums par Noteikumi par aizsardzību pret jonizējošo starojumu medicīniskajā apstarošanā”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FA6D3D" w14:paraId="1AD29E7E" w14:textId="77777777">
        <w:tc>
          <w:tcPr>
            <w:tcW w:w="750" w:type="dxa"/>
            <w:shd w:val="clear" w:color="auto" w:fill="FFFFFF"/>
            <w:noWrap/>
            <w:tcMar>
              <w:top w:w="75" w:type="dxa"/>
              <w:left w:w="75" w:type="dxa"/>
              <w:bottom w:w="75" w:type="dxa"/>
              <w:right w:w="75" w:type="dxa"/>
            </w:tcMar>
            <w:vAlign w:val="center"/>
          </w:tcPr>
          <w:p w14:paraId="6361C866" w14:textId="77777777" w:rsidR="00FA6D3D" w:rsidRDefault="00F27F72">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3951EC2A" w14:textId="77777777" w:rsidR="00FA6D3D" w:rsidRDefault="00F27F72">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16DDCB72" w14:textId="77777777" w:rsidR="00FA6D3D" w:rsidRDefault="00F27F72">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55D29321" w14:textId="77777777" w:rsidR="00FA6D3D" w:rsidRDefault="00F27F72">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0A63341B" w14:textId="77777777" w:rsidR="00FA6D3D" w:rsidRDefault="00F27F72">
            <w:pPr>
              <w:jc w:val="center"/>
            </w:pPr>
            <w:r>
              <w:rPr>
                <w:b/>
              </w:rPr>
              <w:t>Skaidrojums, kādā veidā viedoklis / priekšlikums / iebildums ir ņemts vērā vai ņemts vērā daļēji, vai pamatojums, ja viedoklis / priekšlikums / iebildums nav ņemts vērā</w:t>
            </w:r>
          </w:p>
        </w:tc>
      </w:tr>
      <w:tr w:rsidR="00FA6D3D" w14:paraId="2ACD407E" w14:textId="77777777">
        <w:tc>
          <w:tcPr>
            <w:tcW w:w="750" w:type="dxa"/>
            <w:shd w:val="clear" w:color="auto" w:fill="FFFFFF"/>
            <w:noWrap/>
            <w:tcMar>
              <w:top w:w="75" w:type="dxa"/>
              <w:left w:w="75" w:type="dxa"/>
              <w:bottom w:w="75" w:type="dxa"/>
              <w:right w:w="75" w:type="dxa"/>
            </w:tcMar>
            <w:vAlign w:val="center"/>
          </w:tcPr>
          <w:p w14:paraId="1D170178" w14:textId="77777777" w:rsidR="00FA6D3D" w:rsidRDefault="00F27F72">
            <w:pPr>
              <w:jc w:val="center"/>
            </w:pPr>
            <w:r>
              <w:t>1.</w:t>
            </w:r>
          </w:p>
        </w:tc>
        <w:tc>
          <w:tcPr>
            <w:tcW w:w="4055" w:type="dxa"/>
            <w:shd w:val="clear" w:color="auto" w:fill="FFFFFF"/>
            <w:noWrap/>
            <w:tcMar>
              <w:top w:w="75" w:type="dxa"/>
              <w:left w:w="75" w:type="dxa"/>
              <w:bottom w:w="75" w:type="dxa"/>
              <w:right w:w="75" w:type="dxa"/>
            </w:tcMar>
            <w:vAlign w:val="center"/>
          </w:tcPr>
          <w:p w14:paraId="16A02D31" w14:textId="77777777" w:rsidR="00FA6D3D" w:rsidRDefault="00F27F72">
            <w:pPr>
              <w:jc w:val="left"/>
            </w:pPr>
            <w:r>
              <w:t>SIA "Liepājas reģionālā slimnīca" Medicīnas fizikas eksperts, Sandra Stepiņa</w:t>
            </w:r>
          </w:p>
        </w:tc>
        <w:tc>
          <w:tcPr>
            <w:tcW w:w="4056" w:type="dxa"/>
            <w:shd w:val="clear" w:color="auto" w:fill="FFFFFF"/>
            <w:noWrap/>
            <w:tcMar>
              <w:top w:w="75" w:type="dxa"/>
              <w:left w:w="75" w:type="dxa"/>
              <w:bottom w:w="75" w:type="dxa"/>
              <w:right w:w="75" w:type="dxa"/>
            </w:tcMar>
            <w:vAlign w:val="center"/>
          </w:tcPr>
          <w:p w14:paraId="19F2670D" w14:textId="77777777" w:rsidR="00FA6D3D" w:rsidRDefault="00F27F72">
            <w:pPr>
              <w:jc w:val="left"/>
            </w:pPr>
            <w:r>
              <w:t>Strādājot Staru terapijas nozarē kā medicīnas fiziķis jau vairāk kā desmit gadus un kļūstot par medicīnas fizikas ekspertu staru terapijā, uzskatu, ka šis noteikumu projekts nodrošina mūsdienīgus un tehnoloģiju attīstībai atbilstošus pārbaudes nosacījumus.</w:t>
            </w:r>
            <w:r>
              <w:br/>
            </w:r>
            <w:r>
              <w:t xml:space="preserve">Staru terapija ir augsti tehnoloģiska manipulācija, kuras ieviešana klīniskajā praksē pieprasa atbilstoši apmācītus speciālistus – medicīnas fiziķus un medicīnas fizikas ekspertus, kas ieguvuši iekārtas ražotāja apmācību darbam ar staru </w:t>
            </w:r>
            <w:r>
              <w:lastRenderedPageBreak/>
              <w:t>terapijas iekārtu un tās metodēm un ikdienā ir nodarbināti iekārtu kvalitātes kontroles procedūrās.</w:t>
            </w:r>
            <w:r>
              <w:br/>
            </w:r>
            <w:r>
              <w:t>Staru terapijas iekārtas ieviešana ekspluatācijā nav iespējama bez noteikta kalibrēta mērīšanas līdzekļu klāsta, ko slimnīcas iegādājas komplektā ar terapeitisko iekārtu un s</w:t>
            </w:r>
            <w:r>
              <w:t>taru terapijā strādājošie medicīnas fiziķi un medicīnas fizikas eksperti ir apmācīti darbā ar tiem un spēj nodrošināt mērījumu klāstu atbilstoši ne tikai ražotāja prasībām, bet arī starptautisko vadlīniju un arī šo noteikumu prasībām.</w:t>
            </w:r>
            <w:r>
              <w:br/>
            </w:r>
            <w:r>
              <w:t>Uzskatu, ka sniedzot iespēju veikt funkciju atbilstības pārbaudi staru terapijas iekārtām medicīnas fizikas ekspertiem, pirmkārt, tiek nodrošināta profesionāla un kompetenta mērījumu veikšana, ko veic apmācīti medicīnas fizikas eksperti; otrkārt, staru terapijas iekārtas darbī</w:t>
            </w:r>
            <w:r>
              <w:t xml:space="preserve">bu nav nepieciešams pārtraukt neatkarīgas institūcijas mērījumiem uz vairākām dienām </w:t>
            </w:r>
            <w:r>
              <w:lastRenderedPageBreak/>
              <w:t>(pašlaik līdz pat 5 dienām vienai iekārtai), kas var būtiski ietekmēt onkoloģisko pacientu staru terapijas efektivitāti un ārstēšanas rezultātu, jo slimnīcā strādājošie medicīnas fizikas eksperti var veikt mērījumus pēc iekārtas darba laika; treškārt, tiek būtiski samazināts slimnīcas finansiālais slogs, jo šādas pārbaudes izmaksas, ņemot vērā pašreizējo monopola situāciju staru terapijas iekārtu funkciju atbilstības pārbau</w:t>
            </w:r>
            <w:r>
              <w:t>dēs, ir ievērojamas. Pie tam slimnīcas ir jau ieguldījušas finansiālos līdzekļus nepieciešamo mērinstrumentu iegādē un regulārā kalibrēšanā (reizi divos gados); ceturtkārt, operatori, jeb slimnīcas izveido noteikumu prasībām atbilstošu speciālistu komandu – medicīnas fiziķus, medicīnas fizikas ekspertus, inženierus – kas ik dienas (nevis tikai vienu reizi gadā) ir atbildīgi par pacienta drošību staru terapijas procedūrās un iekārtu tehnisko stāvokli.</w:t>
            </w:r>
            <w:r>
              <w:br/>
            </w:r>
            <w:r>
              <w:lastRenderedPageBreak/>
              <w:t>Noteikumu projektā iekļautie kritēriji nodrošina staru te</w:t>
            </w:r>
            <w:r>
              <w:t>rapijas galveno raksturojošo parametru pārbaudes, rodot iespēju veikt pārbaudes dažāda tipa staru terapijas iekārtām, iekļaujot atšķirīgu pieeju augsti tehnoloģisku staru terapijas metožu pārbaudēm.</w:t>
            </w:r>
            <w:r>
              <w:br/>
            </w:r>
            <w:r>
              <w:t>Uzskatu, ka noteikumu projekts ir iekļaujošs un sniedz iespēju arī akreditētām institūcijām sniegt pakalpojumu, gadījumā, ja slimnīca nespēj nodrošināt noteikumiem atbilstošos mērījumus.</w:t>
            </w:r>
            <w:r>
              <w:br/>
            </w:r>
            <w:r>
              <w:t>Atbalstu noteikumu projekta tālāko virzību.</w:t>
            </w:r>
          </w:p>
        </w:tc>
        <w:tc>
          <w:tcPr>
            <w:tcW w:w="1650" w:type="dxa"/>
            <w:shd w:val="clear" w:color="auto" w:fill="FFFFFF"/>
            <w:noWrap/>
            <w:tcMar>
              <w:top w:w="75" w:type="dxa"/>
              <w:left w:w="75" w:type="dxa"/>
              <w:bottom w:w="75" w:type="dxa"/>
              <w:right w:w="75" w:type="dxa"/>
            </w:tcMar>
            <w:vAlign w:val="center"/>
          </w:tcPr>
          <w:p w14:paraId="036824AF" w14:textId="1111315F" w:rsidR="00FA6D3D" w:rsidRPr="0062699E" w:rsidRDefault="00762DD6">
            <w:pPr>
              <w:jc w:val="left"/>
              <w:rPr>
                <w:b/>
                <w:bCs/>
              </w:rPr>
            </w:pPr>
            <w:r w:rsidRPr="0062699E">
              <w:rPr>
                <w:b/>
                <w:bCs/>
              </w:rPr>
              <w:lastRenderedPageBreak/>
              <w:t>Ņemts vērā</w:t>
            </w:r>
          </w:p>
        </w:tc>
        <w:tc>
          <w:tcPr>
            <w:tcW w:w="4056" w:type="dxa"/>
            <w:shd w:val="clear" w:color="auto" w:fill="FFFFFF"/>
            <w:noWrap/>
            <w:tcMar>
              <w:top w:w="75" w:type="dxa"/>
              <w:left w:w="75" w:type="dxa"/>
              <w:bottom w:w="75" w:type="dxa"/>
              <w:right w:w="75" w:type="dxa"/>
            </w:tcMar>
            <w:vAlign w:val="center"/>
          </w:tcPr>
          <w:p w14:paraId="4D540193" w14:textId="77777777" w:rsidR="00FA6D3D" w:rsidRDefault="00FA6D3D">
            <w:pPr>
              <w:jc w:val="left"/>
            </w:pPr>
          </w:p>
        </w:tc>
      </w:tr>
      <w:tr w:rsidR="00FA6D3D" w14:paraId="471500EF" w14:textId="77777777">
        <w:tc>
          <w:tcPr>
            <w:tcW w:w="750" w:type="dxa"/>
            <w:shd w:val="clear" w:color="auto" w:fill="FFFFFF"/>
            <w:noWrap/>
            <w:tcMar>
              <w:top w:w="75" w:type="dxa"/>
              <w:left w:w="75" w:type="dxa"/>
              <w:bottom w:w="75" w:type="dxa"/>
              <w:right w:w="75" w:type="dxa"/>
            </w:tcMar>
            <w:vAlign w:val="center"/>
          </w:tcPr>
          <w:p w14:paraId="1F2FDE51" w14:textId="77777777" w:rsidR="00FA6D3D" w:rsidRDefault="00F27F72">
            <w:pPr>
              <w:jc w:val="center"/>
            </w:pPr>
            <w:r>
              <w:lastRenderedPageBreak/>
              <w:t>2.</w:t>
            </w:r>
          </w:p>
        </w:tc>
        <w:tc>
          <w:tcPr>
            <w:tcW w:w="4055" w:type="dxa"/>
            <w:shd w:val="clear" w:color="auto" w:fill="FFFFFF"/>
            <w:noWrap/>
            <w:tcMar>
              <w:top w:w="75" w:type="dxa"/>
              <w:left w:w="75" w:type="dxa"/>
              <w:bottom w:w="75" w:type="dxa"/>
              <w:right w:w="75" w:type="dxa"/>
            </w:tcMar>
            <w:vAlign w:val="center"/>
          </w:tcPr>
          <w:p w14:paraId="0A709A47" w14:textId="77777777" w:rsidR="00FA6D3D" w:rsidRDefault="00F27F72">
            <w:pPr>
              <w:jc w:val="left"/>
            </w:pPr>
            <w:r>
              <w:t>Medicīnas fizikas eksperts, SIA "</w:t>
            </w:r>
            <w:proofErr w:type="spellStart"/>
            <w:r>
              <w:t>Ziemeļkurzemes</w:t>
            </w:r>
            <w:proofErr w:type="spellEnd"/>
            <w:r>
              <w:t xml:space="preserve"> reģionālā slimnīca", Mārtiņš </w:t>
            </w:r>
            <w:proofErr w:type="spellStart"/>
            <w:r>
              <w:t>Pikšis</w:t>
            </w:r>
            <w:proofErr w:type="spellEnd"/>
          </w:p>
        </w:tc>
        <w:tc>
          <w:tcPr>
            <w:tcW w:w="4056" w:type="dxa"/>
            <w:shd w:val="clear" w:color="auto" w:fill="FFFFFF"/>
            <w:noWrap/>
            <w:tcMar>
              <w:top w:w="75" w:type="dxa"/>
              <w:left w:w="75" w:type="dxa"/>
              <w:bottom w:w="75" w:type="dxa"/>
              <w:right w:w="75" w:type="dxa"/>
            </w:tcMar>
            <w:vAlign w:val="center"/>
          </w:tcPr>
          <w:p w14:paraId="1CDB48E6" w14:textId="77777777" w:rsidR="00FA6D3D" w:rsidRDefault="00F27F72">
            <w:pPr>
              <w:jc w:val="left"/>
            </w:pPr>
            <w:r>
              <w:t xml:space="preserve">Patreiz spēkā esošie, 2014.gada 19.augusta Ministru kabineta noteikumi Nr.482, neveicina medicīnas fizikas nozares attīstību, jo uzliek par obligātu pienākumu </w:t>
            </w:r>
            <w:proofErr w:type="spellStart"/>
            <w:r>
              <w:t>ārtsniecības</w:t>
            </w:r>
            <w:proofErr w:type="spellEnd"/>
            <w:r>
              <w:t xml:space="preserve"> iestādēm iegādāties akreditētu inspicēšanas institūciju pakalpojumus - jonizējošā starojuma avotu </w:t>
            </w:r>
            <w:r>
              <w:lastRenderedPageBreak/>
              <w:t xml:space="preserve">funkciju un elektrodrošības pārbaudes. Šāda pieeja jau sen vairs nav sastopama nedz Baltijā, nedz arī citās Eiropas Savienības dalībvalstīs. Normatīvā akta projekts 22-TA-2871 ir medicīnas fizikas nozares attīstībai absolūti nepieciešams solis, proti, tas paredz piešķirt nepieciešamās pilnvaras tiem, kuri vislabāk pārzina medicīnā izmantotos jonizējošā starojuma avotus un spēj pilnā mērā uzņemties </w:t>
            </w:r>
            <w:r>
              <w:t>atbildību par pacienta drošību – medicīnas fizikas ekspertiem.</w:t>
            </w:r>
            <w:r>
              <w:br/>
            </w:r>
            <w:r>
              <w:br/>
            </w:r>
            <w:r>
              <w:t>Ņemot vērā, ka medicīnas tehnoloģiju attīstība ir ļoti dinamiska, ierosinu Projektā iekļaut punktu, kurš paredz, ka Noteikumu 5. Pielikums tiek pārskatīt regulāri, bet ne biežāk, kā reizi gadā.</w:t>
            </w:r>
            <w:r>
              <w:br/>
            </w:r>
            <w:r>
              <w:t>Atbalstu projekta tālāku virzību.</w:t>
            </w:r>
            <w:r>
              <w:br/>
            </w:r>
          </w:p>
        </w:tc>
        <w:tc>
          <w:tcPr>
            <w:tcW w:w="1650" w:type="dxa"/>
            <w:shd w:val="clear" w:color="auto" w:fill="FFFFFF"/>
            <w:noWrap/>
            <w:tcMar>
              <w:top w:w="75" w:type="dxa"/>
              <w:left w:w="75" w:type="dxa"/>
              <w:bottom w:w="75" w:type="dxa"/>
              <w:right w:w="75" w:type="dxa"/>
            </w:tcMar>
            <w:vAlign w:val="center"/>
          </w:tcPr>
          <w:p w14:paraId="23884E63" w14:textId="1DA21399" w:rsidR="00FA6D3D" w:rsidRPr="0062699E" w:rsidRDefault="00762DD6">
            <w:pPr>
              <w:jc w:val="left"/>
              <w:rPr>
                <w:b/>
                <w:bCs/>
              </w:rPr>
            </w:pPr>
            <w:r w:rsidRPr="0062699E">
              <w:rPr>
                <w:b/>
                <w:bCs/>
              </w:rPr>
              <w:lastRenderedPageBreak/>
              <w:t>Nav ņemts vērā</w:t>
            </w:r>
          </w:p>
        </w:tc>
        <w:tc>
          <w:tcPr>
            <w:tcW w:w="4056" w:type="dxa"/>
            <w:shd w:val="clear" w:color="auto" w:fill="FFFFFF"/>
            <w:noWrap/>
            <w:tcMar>
              <w:top w:w="75" w:type="dxa"/>
              <w:left w:w="75" w:type="dxa"/>
              <w:bottom w:w="75" w:type="dxa"/>
              <w:right w:w="75" w:type="dxa"/>
            </w:tcMar>
            <w:vAlign w:val="center"/>
          </w:tcPr>
          <w:p w14:paraId="471124EB" w14:textId="77777777" w:rsidR="00FA6D3D" w:rsidRDefault="00762DD6">
            <w:pPr>
              <w:jc w:val="left"/>
              <w:rPr>
                <w:b/>
                <w:bCs/>
              </w:rPr>
            </w:pPr>
            <w:r w:rsidRPr="165AD648">
              <w:rPr>
                <w:szCs w:val="28"/>
              </w:rPr>
              <w:t xml:space="preserve">Nav ņemts vērā ierosinājums: </w:t>
            </w:r>
            <w:r w:rsidRPr="165AD648">
              <w:rPr>
                <w:b/>
                <w:bCs/>
              </w:rPr>
              <w:t>Projektā iekļaut punktu, kurš paredz, ka Noteikumu 5. Pielikums tiek pārskatīt regulāri, bet ne biežāk, kā reizi gadā</w:t>
            </w:r>
            <w:r>
              <w:rPr>
                <w:b/>
                <w:bCs/>
              </w:rPr>
              <w:t xml:space="preserve">. </w:t>
            </w:r>
          </w:p>
          <w:p w14:paraId="3F33F399" w14:textId="103E7E8E" w:rsidR="00762DD6" w:rsidRPr="00762DD6" w:rsidRDefault="00762DD6">
            <w:pPr>
              <w:jc w:val="left"/>
            </w:pPr>
            <w:r w:rsidRPr="00762DD6">
              <w:t xml:space="preserve">Regulāra 5. pielikuma pārskatīšana ir </w:t>
            </w:r>
            <w:proofErr w:type="spellStart"/>
            <w:r w:rsidRPr="00762DD6">
              <w:t>resursieti</w:t>
            </w:r>
            <w:r w:rsidR="00B61124">
              <w:t>l</w:t>
            </w:r>
            <w:r w:rsidRPr="00762DD6">
              <w:t>pīga</w:t>
            </w:r>
            <w:proofErr w:type="spellEnd"/>
            <w:r w:rsidR="00B61124">
              <w:t xml:space="preserve"> un</w:t>
            </w:r>
            <w:r w:rsidRPr="00762DD6">
              <w:t xml:space="preserve"> prasa specifiskas tehniskās </w:t>
            </w:r>
            <w:r w:rsidRPr="00762DD6">
              <w:lastRenderedPageBreak/>
              <w:t>zināšanas. Noteikumu projektā regularitāte 5. pielikuma pārskatīšanai netiek noteikta.</w:t>
            </w:r>
          </w:p>
        </w:tc>
      </w:tr>
      <w:tr w:rsidR="00FA6D3D" w14:paraId="3C1E14FE" w14:textId="77777777">
        <w:tc>
          <w:tcPr>
            <w:tcW w:w="750" w:type="dxa"/>
            <w:shd w:val="clear" w:color="auto" w:fill="FFFFFF"/>
            <w:noWrap/>
            <w:tcMar>
              <w:top w:w="75" w:type="dxa"/>
              <w:left w:w="75" w:type="dxa"/>
              <w:bottom w:w="75" w:type="dxa"/>
              <w:right w:w="75" w:type="dxa"/>
            </w:tcMar>
            <w:vAlign w:val="center"/>
          </w:tcPr>
          <w:p w14:paraId="0BD1AE30" w14:textId="77777777" w:rsidR="00FA6D3D" w:rsidRDefault="00F27F72">
            <w:pPr>
              <w:jc w:val="center"/>
            </w:pPr>
            <w:r>
              <w:lastRenderedPageBreak/>
              <w:t>3.</w:t>
            </w:r>
          </w:p>
        </w:tc>
        <w:tc>
          <w:tcPr>
            <w:tcW w:w="4055" w:type="dxa"/>
            <w:shd w:val="clear" w:color="auto" w:fill="FFFFFF"/>
            <w:noWrap/>
            <w:tcMar>
              <w:top w:w="75" w:type="dxa"/>
              <w:left w:w="75" w:type="dxa"/>
              <w:bottom w:w="75" w:type="dxa"/>
              <w:right w:w="75" w:type="dxa"/>
            </w:tcMar>
            <w:vAlign w:val="center"/>
          </w:tcPr>
          <w:p w14:paraId="0614275B" w14:textId="77777777" w:rsidR="00FA6D3D" w:rsidRDefault="00F27F72">
            <w:pPr>
              <w:jc w:val="left"/>
            </w:pPr>
            <w:r>
              <w:t>*VSIA Bērnu klīniskā universitātes slimnīca</w:t>
            </w:r>
          </w:p>
        </w:tc>
        <w:tc>
          <w:tcPr>
            <w:tcW w:w="4056" w:type="dxa"/>
            <w:shd w:val="clear" w:color="auto" w:fill="FFFFFF"/>
            <w:noWrap/>
            <w:tcMar>
              <w:top w:w="75" w:type="dxa"/>
              <w:left w:w="75" w:type="dxa"/>
              <w:bottom w:w="75" w:type="dxa"/>
              <w:right w:w="75" w:type="dxa"/>
            </w:tcMar>
            <w:vAlign w:val="center"/>
          </w:tcPr>
          <w:p w14:paraId="4E367F36" w14:textId="77777777" w:rsidR="00FA6D3D" w:rsidRDefault="00F27F72">
            <w:pPr>
              <w:jc w:val="left"/>
            </w:pPr>
            <w:r>
              <w:t xml:space="preserve">VSIA “Bērnu klīniskā universitātes slimnīca” (turpmāk </w:t>
            </w:r>
            <w:r>
              <w:lastRenderedPageBreak/>
              <w:t>BKUS) ir iepazinusies ar jauno Ministru kabineta noteikumu projektu “Noteikumi par aizsardzību pret jonizējošo starojumu medicīniskā apstarošanā” (22-TA-2871) (turpmāk -Projekts) un konceptuāli atbalsta Projekta tālāko virzību, jo tajā iekļautas daudzas izmaiņas, kas valsts mērogā kopumā uzlabos sniegto medicīnisko pakalpojumu kvalitāti.</w:t>
            </w:r>
            <w:r>
              <w:br/>
            </w:r>
            <w:r>
              <w:br/>
            </w:r>
            <w:r>
              <w:t xml:space="preserve">Projektā paredzēts, ka </w:t>
            </w:r>
            <w:proofErr w:type="spellStart"/>
            <w:r>
              <w:t>radioloģisko</w:t>
            </w:r>
            <w:proofErr w:type="spellEnd"/>
            <w:r>
              <w:t xml:space="preserve"> ierīču elektrodrošības pārbaudes un funkcionālās pārbaudes attiecībā uz tehniskajiem parametriem veiks ne inspicēšanas institūcija, kas</w:t>
            </w:r>
            <w:r>
              <w:t xml:space="preserve"> ir akreditēta nacionālajā akreditācijas institūcijā atbilstoši normatīvajiem aktiem par atbilstības novērtēšanas institūciju novērtēšanu, akreditāciju un uzraudzību vai citas Eiropas Savienības dalībvalsts akreditācijas institūcijā (turpmāk – </w:t>
            </w:r>
            <w:r>
              <w:lastRenderedPageBreak/>
              <w:t xml:space="preserve">inspicēšanas institūcija), kā tas bija līdz šim, bet to drīkstēs veikt arī ražotājs /ražotāja pārstāvis un medicīnas fizikas eksperts. Paplašinot iespējamo pretendentu loku, paredzams, kas samazināsies iekārtas dīkstāves laiks gadījumos, kad pēc radioloģijas iekārtas </w:t>
            </w:r>
            <w:r>
              <w:t>remonta ir jāveic funkcionālā pārbaude, un samazināsies pārbaužu izmaksas.</w:t>
            </w:r>
            <w:r>
              <w:br/>
            </w:r>
            <w:r>
              <w:t xml:space="preserve">Šobrīd daļa radioterapijas un </w:t>
            </w:r>
            <w:proofErr w:type="spellStart"/>
            <w:r>
              <w:t>kodolmedicīnas</w:t>
            </w:r>
            <w:proofErr w:type="spellEnd"/>
            <w:r>
              <w:t xml:space="preserve"> iekārtām Latvijas teritorijā ir tikai viena inspicēšanas institūcija, kurai ir atļauts veikt minēto iekārtu pārbaudes, faktiski pastāv tirgus monopols, kā dēļ pastāv augsts risks, ka ar radioterapijas un </w:t>
            </w:r>
            <w:proofErr w:type="spellStart"/>
            <w:r>
              <w:t>kodolmedicīnas</w:t>
            </w:r>
            <w:proofErr w:type="spellEnd"/>
            <w:r>
              <w:t xml:space="preserve"> iekārtām nevarēs veikt diagnostiskās un terapeitiskās procedūras gadījumā, ja Latvijā esošā vienīgā inspicēšanas institūcija pārstās sniegt pakalpojumu vai neveiks pārbaudi </w:t>
            </w:r>
            <w:r>
              <w:t xml:space="preserve">nepieciešamajā laikā. Minēto iekārtu dīkstāves gadījumā pagarināsies onkoloģisko pacientu </w:t>
            </w:r>
            <w:r>
              <w:lastRenderedPageBreak/>
              <w:t>gaidīšanas laiks uz izmeklējumu vai terapeitisko procedūru.</w:t>
            </w:r>
            <w:r>
              <w:br/>
            </w:r>
            <w:r>
              <w:t>Projektā paredzēts (61.punkts), ka gadījumā, ja funkcionālās pārbaudes veiks medicīnas fizikas eksperts vai ražotājs/ražotāja pārstāvis, uzraudzību un kontroli veikts Valsts vides dienesta Radiācijas drošības centrs.</w:t>
            </w:r>
            <w:r>
              <w:br/>
            </w:r>
            <w:r>
              <w:br/>
            </w:r>
            <w:r>
              <w:t> Projekts pilnībā atbilst starptautiski pieņemtai praksei un veicinās medicīnas fizikas un radiācijas drošības nozaru attīstību Latvijā.</w:t>
            </w:r>
            <w:r>
              <w:br/>
            </w:r>
          </w:p>
        </w:tc>
        <w:tc>
          <w:tcPr>
            <w:tcW w:w="1650" w:type="dxa"/>
            <w:shd w:val="clear" w:color="auto" w:fill="FFFFFF"/>
            <w:noWrap/>
            <w:tcMar>
              <w:top w:w="75" w:type="dxa"/>
              <w:left w:w="75" w:type="dxa"/>
              <w:bottom w:w="75" w:type="dxa"/>
              <w:right w:w="75" w:type="dxa"/>
            </w:tcMar>
            <w:vAlign w:val="center"/>
          </w:tcPr>
          <w:p w14:paraId="1BBB1A74" w14:textId="117D0844" w:rsidR="00FA6D3D" w:rsidRPr="0062699E" w:rsidRDefault="00B61124">
            <w:pPr>
              <w:jc w:val="left"/>
              <w:rPr>
                <w:b/>
                <w:bCs/>
              </w:rPr>
            </w:pPr>
            <w:r w:rsidRPr="0062699E">
              <w:rPr>
                <w:b/>
                <w:bCs/>
              </w:rPr>
              <w:lastRenderedPageBreak/>
              <w:t>Ņemts vērā</w:t>
            </w:r>
          </w:p>
        </w:tc>
        <w:tc>
          <w:tcPr>
            <w:tcW w:w="4056" w:type="dxa"/>
            <w:shd w:val="clear" w:color="auto" w:fill="FFFFFF"/>
            <w:noWrap/>
            <w:tcMar>
              <w:top w:w="75" w:type="dxa"/>
              <w:left w:w="75" w:type="dxa"/>
              <w:bottom w:w="75" w:type="dxa"/>
              <w:right w:w="75" w:type="dxa"/>
            </w:tcMar>
            <w:vAlign w:val="center"/>
          </w:tcPr>
          <w:p w14:paraId="73F293D4" w14:textId="77777777" w:rsidR="00FA6D3D" w:rsidRDefault="00FA6D3D">
            <w:pPr>
              <w:jc w:val="left"/>
            </w:pPr>
          </w:p>
        </w:tc>
      </w:tr>
      <w:tr w:rsidR="00FA6D3D" w14:paraId="65106CBD" w14:textId="77777777">
        <w:tc>
          <w:tcPr>
            <w:tcW w:w="750" w:type="dxa"/>
            <w:shd w:val="clear" w:color="auto" w:fill="FFFFFF"/>
            <w:noWrap/>
            <w:tcMar>
              <w:top w:w="75" w:type="dxa"/>
              <w:left w:w="75" w:type="dxa"/>
              <w:bottom w:w="75" w:type="dxa"/>
              <w:right w:w="75" w:type="dxa"/>
            </w:tcMar>
            <w:vAlign w:val="center"/>
          </w:tcPr>
          <w:p w14:paraId="69181A2E" w14:textId="77777777" w:rsidR="00FA6D3D" w:rsidRDefault="00F27F72">
            <w:pPr>
              <w:jc w:val="center"/>
            </w:pPr>
            <w:r>
              <w:lastRenderedPageBreak/>
              <w:t>4.</w:t>
            </w:r>
          </w:p>
        </w:tc>
        <w:tc>
          <w:tcPr>
            <w:tcW w:w="4055" w:type="dxa"/>
            <w:shd w:val="clear" w:color="auto" w:fill="FFFFFF"/>
            <w:noWrap/>
            <w:tcMar>
              <w:top w:w="75" w:type="dxa"/>
              <w:left w:w="75" w:type="dxa"/>
              <w:bottom w:w="75" w:type="dxa"/>
              <w:right w:w="75" w:type="dxa"/>
            </w:tcMar>
            <w:vAlign w:val="center"/>
          </w:tcPr>
          <w:p w14:paraId="5CB1429B" w14:textId="77777777" w:rsidR="00FA6D3D" w:rsidRDefault="00F27F72">
            <w:pPr>
              <w:jc w:val="left"/>
            </w:pPr>
            <w:r>
              <w:t>Fiziska persona</w:t>
            </w:r>
          </w:p>
        </w:tc>
        <w:tc>
          <w:tcPr>
            <w:tcW w:w="4056" w:type="dxa"/>
            <w:shd w:val="clear" w:color="auto" w:fill="FFFFFF"/>
            <w:noWrap/>
            <w:tcMar>
              <w:top w:w="75" w:type="dxa"/>
              <w:left w:w="75" w:type="dxa"/>
              <w:bottom w:w="75" w:type="dxa"/>
              <w:right w:w="75" w:type="dxa"/>
            </w:tcMar>
            <w:vAlign w:val="center"/>
          </w:tcPr>
          <w:p w14:paraId="175523BB" w14:textId="77777777" w:rsidR="00FA6D3D" w:rsidRDefault="00F27F72">
            <w:pPr>
              <w:jc w:val="left"/>
            </w:pPr>
            <w:r>
              <w:t>Konceptuāli atbalstu noteikumu projektu. </w:t>
            </w:r>
            <w:r>
              <w:br/>
            </w:r>
            <w:r>
              <w:t>Priekšlikumi un komentāri:</w:t>
            </w:r>
            <w:r>
              <w:br/>
            </w:r>
            <w:r>
              <w:t xml:space="preserve">1) noteikumos punktā 49.6 nav pareizi 1. pielikuma punkti salikti atbilstoši </w:t>
            </w:r>
            <w:proofErr w:type="spellStart"/>
            <w:r>
              <w:t>kodolmedicīnas</w:t>
            </w:r>
            <w:proofErr w:type="spellEnd"/>
            <w:r>
              <w:t xml:space="preserve"> manipulācijām. </w:t>
            </w:r>
            <w:r>
              <w:br/>
            </w:r>
            <w:r>
              <w:t xml:space="preserve">49.6. ja </w:t>
            </w:r>
            <w:proofErr w:type="spellStart"/>
            <w:r>
              <w:t>kodolmedicīnas</w:t>
            </w:r>
            <w:proofErr w:type="spellEnd"/>
            <w:r>
              <w:t xml:space="preserve"> diagnostiskā manipulācija nepieciešama bērnam, veic pacientam ievadāmās devas </w:t>
            </w:r>
            <w:r>
              <w:lastRenderedPageBreak/>
              <w:t xml:space="preserve">kopējās radioaktivitātes korekciju, ņemot vērā bērna fiziskos parametrus, un izvēlas attiecīgu lielumu starp minimālo </w:t>
            </w:r>
            <w:proofErr w:type="spellStart"/>
            <w:r>
              <w:t>radiofarmaceitiskā</w:t>
            </w:r>
            <w:proofErr w:type="spellEnd"/>
            <w:r>
              <w:t xml:space="preserve"> preparāta devu bērnam (1. pielikuma 7. un 8. punkts) un maksimālo devu pieaugušajam (1. pielikuma 6. punkts);</w:t>
            </w:r>
            <w:r>
              <w:br/>
            </w:r>
            <w:r>
              <w:t xml:space="preserve">2) Pielikumā nr. 1 </w:t>
            </w:r>
            <w:proofErr w:type="spellStart"/>
            <w:r>
              <w:t>Kodolmedicīnas</w:t>
            </w:r>
            <w:proofErr w:type="spellEnd"/>
            <w:r>
              <w:t xml:space="preserve"> </w:t>
            </w:r>
            <w:proofErr w:type="spellStart"/>
            <w:r>
              <w:t>standartlīmeņus</w:t>
            </w:r>
            <w:proofErr w:type="spellEnd"/>
            <w:r>
              <w:t xml:space="preserve"> pieau</w:t>
            </w:r>
            <w:r>
              <w:t>gušajiem vajadzētu pārskatīt, jo tie neatbilst aktuālajām EANM (</w:t>
            </w:r>
            <w:proofErr w:type="spellStart"/>
            <w:r>
              <w:t>European</w:t>
            </w:r>
            <w:proofErr w:type="spellEnd"/>
            <w:r>
              <w:t xml:space="preserve"> Association </w:t>
            </w:r>
            <w:proofErr w:type="spellStart"/>
            <w:r>
              <w:t>of</w:t>
            </w:r>
            <w:proofErr w:type="spellEnd"/>
            <w:r>
              <w:t xml:space="preserve"> </w:t>
            </w:r>
            <w:proofErr w:type="spellStart"/>
            <w:r>
              <w:t>Nuclear</w:t>
            </w:r>
            <w:proofErr w:type="spellEnd"/>
            <w:r>
              <w:t xml:space="preserve"> </w:t>
            </w:r>
            <w:proofErr w:type="spellStart"/>
            <w:r>
              <w:t>Medicine</w:t>
            </w:r>
            <w:proofErr w:type="spellEnd"/>
            <w:r>
              <w:t>) vadlīnijām!</w:t>
            </w:r>
            <w:r>
              <w:br/>
            </w:r>
            <w:r>
              <w:t xml:space="preserve">3) Profesija “Radiologs </w:t>
            </w:r>
            <w:proofErr w:type="spellStart"/>
            <w:r>
              <w:t>diagnosts</w:t>
            </w:r>
            <w:proofErr w:type="spellEnd"/>
            <w:r>
              <w:t xml:space="preserve">” vairs neeksistē - šobrīd ir aktuāli divi amati - radiologs (agrāk - radiologs </w:t>
            </w:r>
            <w:proofErr w:type="spellStart"/>
            <w:r>
              <w:t>diagnosts</w:t>
            </w:r>
            <w:proofErr w:type="spellEnd"/>
            <w:r>
              <w:t>) un radiologs terapeits. No profesiju klasifikatora: https://likumi.lv/ta/id/291004-noteikumi-par-profesiju-klasifikatoru-profesijai-atbilstosiem-pamatuzdevumiem-un-kvalifikacijas-pamatprasibam</w:t>
            </w:r>
            <w:r>
              <w:br/>
            </w:r>
          </w:p>
        </w:tc>
        <w:tc>
          <w:tcPr>
            <w:tcW w:w="1650" w:type="dxa"/>
            <w:shd w:val="clear" w:color="auto" w:fill="FFFFFF"/>
            <w:noWrap/>
            <w:tcMar>
              <w:top w:w="75" w:type="dxa"/>
              <w:left w:w="75" w:type="dxa"/>
              <w:bottom w:w="75" w:type="dxa"/>
              <w:right w:w="75" w:type="dxa"/>
            </w:tcMar>
            <w:vAlign w:val="center"/>
          </w:tcPr>
          <w:p w14:paraId="3848743B" w14:textId="4E3A0B48" w:rsidR="00FA6D3D" w:rsidRPr="0062699E" w:rsidRDefault="00B61124">
            <w:pPr>
              <w:jc w:val="left"/>
              <w:rPr>
                <w:b/>
                <w:bCs/>
              </w:rPr>
            </w:pPr>
            <w:r w:rsidRPr="0062699E">
              <w:rPr>
                <w:b/>
                <w:bCs/>
              </w:rPr>
              <w:lastRenderedPageBreak/>
              <w:t>Ņemts vērā</w:t>
            </w:r>
          </w:p>
        </w:tc>
        <w:tc>
          <w:tcPr>
            <w:tcW w:w="4056" w:type="dxa"/>
            <w:shd w:val="clear" w:color="auto" w:fill="FFFFFF"/>
            <w:noWrap/>
            <w:tcMar>
              <w:top w:w="75" w:type="dxa"/>
              <w:left w:w="75" w:type="dxa"/>
              <w:bottom w:w="75" w:type="dxa"/>
              <w:right w:w="75" w:type="dxa"/>
            </w:tcMar>
            <w:vAlign w:val="center"/>
          </w:tcPr>
          <w:p w14:paraId="4E9FD738" w14:textId="77777777" w:rsidR="00FA6D3D" w:rsidRDefault="00FA6D3D">
            <w:pPr>
              <w:jc w:val="left"/>
            </w:pPr>
          </w:p>
        </w:tc>
      </w:tr>
      <w:tr w:rsidR="00FA6D3D" w14:paraId="1874D627" w14:textId="77777777">
        <w:tc>
          <w:tcPr>
            <w:tcW w:w="750" w:type="dxa"/>
            <w:shd w:val="clear" w:color="auto" w:fill="FFFFFF"/>
            <w:noWrap/>
            <w:tcMar>
              <w:top w:w="75" w:type="dxa"/>
              <w:left w:w="75" w:type="dxa"/>
              <w:bottom w:w="75" w:type="dxa"/>
              <w:right w:w="75" w:type="dxa"/>
            </w:tcMar>
            <w:vAlign w:val="center"/>
          </w:tcPr>
          <w:p w14:paraId="42286FFE" w14:textId="77777777" w:rsidR="00FA6D3D" w:rsidRDefault="00F27F72">
            <w:pPr>
              <w:jc w:val="center"/>
            </w:pPr>
            <w:r>
              <w:lastRenderedPageBreak/>
              <w:t>5.</w:t>
            </w:r>
          </w:p>
        </w:tc>
        <w:tc>
          <w:tcPr>
            <w:tcW w:w="4055" w:type="dxa"/>
            <w:shd w:val="clear" w:color="auto" w:fill="FFFFFF"/>
            <w:noWrap/>
            <w:tcMar>
              <w:top w:w="75" w:type="dxa"/>
              <w:left w:w="75" w:type="dxa"/>
              <w:bottom w:w="75" w:type="dxa"/>
              <w:right w:w="75" w:type="dxa"/>
            </w:tcMar>
            <w:vAlign w:val="center"/>
          </w:tcPr>
          <w:p w14:paraId="245D3B3E" w14:textId="77777777" w:rsidR="00FA6D3D" w:rsidRDefault="00F27F72">
            <w:pPr>
              <w:jc w:val="left"/>
            </w:pPr>
            <w:r>
              <w:t>SIA "INLAB"</w:t>
            </w:r>
          </w:p>
        </w:tc>
        <w:tc>
          <w:tcPr>
            <w:tcW w:w="4056" w:type="dxa"/>
            <w:shd w:val="clear" w:color="auto" w:fill="FFFFFF"/>
            <w:noWrap/>
            <w:tcMar>
              <w:top w:w="75" w:type="dxa"/>
              <w:left w:w="75" w:type="dxa"/>
              <w:bottom w:w="75" w:type="dxa"/>
              <w:right w:w="75" w:type="dxa"/>
            </w:tcMar>
            <w:vAlign w:val="center"/>
          </w:tcPr>
          <w:p w14:paraId="27B67671" w14:textId="77777777" w:rsidR="00FA6D3D" w:rsidRDefault="00F27F72">
            <w:pPr>
              <w:jc w:val="left"/>
            </w:pPr>
            <w:r>
              <w:br/>
            </w:r>
            <w:r>
              <w:t>Projekta tekstā ir kļūdas (tostarp, gramatikas, interpunkcijas kļūdas), neprecizitātes.</w:t>
            </w:r>
            <w:r>
              <w:br/>
            </w:r>
            <w:r>
              <w:br/>
            </w:r>
            <w:r>
              <w:t>Šis noteikumu projekts “Noteikumi par aizsardzību pret jonizējošo starojumu medicīniskajā apstarošanā” (turpmāk – Projekts) paredz izmaiņas 2014.gada 19. augusta Ministra kabineta noteikumu Nr. 482 “Noteikumi par aizsardzību pret jonizējošo starojumu medicīniskajā apstarošanā” (turpmāk – Noteikumi) prasībās.</w:t>
            </w:r>
            <w:r>
              <w:br/>
            </w:r>
            <w:r>
              <w:t>Ar šo vēršam vērību uz to apstākli, ka minētās izmaiņas ietver ļoti būtiskus grozījumus, kas atstās ietekmi uz ik</w:t>
            </w:r>
            <w:r>
              <w:t>vienu ārstniecības iestādi, kura sniedz diagnostiskās radioloģijas pakalpojumus.</w:t>
            </w:r>
            <w:r>
              <w:br/>
            </w:r>
            <w:r>
              <w:t xml:space="preserve">Ilggadēji strādājot medicīnas fizikas jomā ne vien galvaspilsētā, bet arī citās, tostarp, nelielās ārstniecības iestādēs, esam labi informēti par grūtībām un resursu </w:t>
            </w:r>
            <w:r>
              <w:lastRenderedPageBreak/>
              <w:t>trūkumu, ar ko iestādes saskaras, lai vispār varētu turpināt nodrošināt saviem pacientiem (kuriem bieži vien nav iespējas doties uz galvaspilsētu) pieejamību tik šķietami primitīviem diagnostikas pakalpojumiem kā rentgena uzņēmums iekaisuma vai lūzuma gadījumā.</w:t>
            </w:r>
            <w:r>
              <w:br/>
            </w:r>
            <w:r>
              <w:t>Kop</w:t>
            </w:r>
            <w:r>
              <w:t xml:space="preserve">š 2014. gada Noteikumu prasības paredz, ka ārstniecības iestādei ir jānodrošina medicīnas fizikas eksperta un medicīnas fiziķa iesaistīšana </w:t>
            </w:r>
            <w:proofErr w:type="spellStart"/>
            <w:r>
              <w:t>radioloģiskajās</w:t>
            </w:r>
            <w:proofErr w:type="spellEnd"/>
            <w:r>
              <w:t xml:space="preserve"> manipulācijās atbilstoši Noteikumos norādītajām darba slodzēm.</w:t>
            </w:r>
            <w:r>
              <w:br/>
            </w:r>
            <w:r>
              <w:t>Visu Noteikumu spēkā esamības laiku (jau sešus gadus) tie ārstniecības iestādēm nav izpildāmi (jo īpaši no galvaspilsētas attālākās vietās), jo valstī kopumā nav tik liela medicīnas fiziķu un medicīnas fizikas ekspertu skaita.</w:t>
            </w:r>
            <w:r>
              <w:br/>
            </w:r>
            <w:r>
              <w:br/>
            </w:r>
            <w:r>
              <w:t>Piemērs:</w:t>
            </w:r>
            <w:r>
              <w:br/>
            </w:r>
            <w:r>
              <w:lastRenderedPageBreak/>
              <w:t xml:space="preserve">Ar Noteikumu prasībām šobrīd minimālā medicīnas fizikas </w:t>
            </w:r>
            <w:r>
              <w:t>eksperta slodze darbā ar paātrinātāju ir noteikta 0,37. Valstī šobrīd ir vismaz 9 lietošanā esoši paātrinātāji, tātad, lai izpildītu Noteikumu prasības ir nepieciešami vismaz 4 (t.i., 0,37 x 9 = 3,33) medicīnas fizikas eksperti darbā ar paātrinātājiem. Medicīnas fizikas eksperta slodze darbā ar starošanas plānošanas sistēmu šobrīd ir noteikta 0,16, uz ko ir nepieciešami vismaz vēl 1 vai 2 medicīnas fizikas eksperti valstī, bet slodze darbā ārējā staru terapijā atkarībā no pacientu apjoma (uz 100 pacientu ga</w:t>
            </w:r>
            <w:r>
              <w:t xml:space="preserve">diem) noteikta kā 0,11, uz ko šobrīd ir nepieciešami vismaz vēl 1-2 medicīnas fizikas eksperti. Tātad kopumā tikai radioterapijā atbilstoši Noteikumu prasībām ir nepieciešami 6-8 medicīnas fizikas eksperti. Tāpat Noteikumu prasību izpildei nepieciešami medicīnas fizikas eksperti </w:t>
            </w:r>
            <w:proofErr w:type="spellStart"/>
            <w:r>
              <w:t>kodolmedicīnā</w:t>
            </w:r>
            <w:proofErr w:type="spellEnd"/>
            <w:r>
              <w:t xml:space="preserve">, </w:t>
            </w:r>
            <w:proofErr w:type="spellStart"/>
            <w:r>
              <w:t>brahiterapijā</w:t>
            </w:r>
            <w:proofErr w:type="spellEnd"/>
            <w:r>
              <w:t>.</w:t>
            </w:r>
            <w:r>
              <w:br/>
            </w:r>
            <w:r>
              <w:lastRenderedPageBreak/>
              <w:t xml:space="preserve">Uz doto brīdi valstī kopumā ir tikai 13 medicīnas fizikas eksperti. Tātad ja pieņemam, ka radioterapijā, </w:t>
            </w:r>
            <w:proofErr w:type="spellStart"/>
            <w:r>
              <w:t>kodolmedicīnā</w:t>
            </w:r>
            <w:proofErr w:type="spellEnd"/>
            <w:r>
              <w:t xml:space="preserve"> un </w:t>
            </w:r>
            <w:proofErr w:type="spellStart"/>
            <w:r>
              <w:t>brahiterapijā</w:t>
            </w:r>
            <w:proofErr w:type="spellEnd"/>
            <w:r>
              <w:t xml:space="preserve"> medicīnas fizikas eksperti tiek noslogoti atbilstoši Noteikumu pra</w:t>
            </w:r>
            <w:r>
              <w:t>sībām, tad uz diagnostiskās radioloģijas ierīcēm atliek vien 3-4 medicīnas fizikas eksperti.</w:t>
            </w:r>
            <w:r>
              <w:br/>
            </w:r>
            <w:r>
              <w:br/>
            </w:r>
            <w:r>
              <w:t>Valsts vides dienesta Radiācijas drošības centrs ir labi informēts par medicīnas fizikas ekspertu un medicīnas fiziķu trūkumu, kura dēļ Noteikumi jau tagad nav izpildāmi. Neskatoties uz to valsts iestāde ir sagatavojusi šobrīd Vides aizsardzības un reģionālās attīstības ministrijas publicēto Noteikumu izmaiņu Projektu, paredzot vēl krietni celt medicīnas fizikas ekspertu un medicīnas fiziķu slodzes.</w:t>
            </w:r>
            <w:r>
              <w:br/>
            </w:r>
            <w:r>
              <w:t>Tādejādi jau tā smagos resursu trūkuma apstākļos, ārstniecības iestādēm, lai tās nepārkāptu Noteikumu prasība</w:t>
            </w:r>
            <w:r>
              <w:t xml:space="preserve">s, būs jāveido </w:t>
            </w:r>
            <w:r>
              <w:lastRenderedPageBreak/>
              <w:t>papildus darba vietas diagnostiskajā radioloģijā.</w:t>
            </w:r>
            <w:r>
              <w:br/>
            </w:r>
            <w:r>
              <w:t xml:space="preserve">Lai gan esam uzņēmums ar Latvijā lielāko medicīnas fiziķu štatu diagnostiskajā radioloģijā, kas lieliski izprot medicīnas fiziķa un medicīnas fizikas eksperta svarīgo lomu </w:t>
            </w:r>
            <w:proofErr w:type="spellStart"/>
            <w:r>
              <w:t>radioloģisko</w:t>
            </w:r>
            <w:proofErr w:type="spellEnd"/>
            <w:r>
              <w:t xml:space="preserve"> ierīču uzturēšanā un iestājamies par profesijas prestiža celšanu, esam kategoriski pret mākslīga medicīnas fiziķu un medicīnas fizikas ekspertu deficīta radīšanu. Esam pret diagnostiskās radioloģijas iznīcināšanu ārpus galvaspilsētas, kas tiks panākts ar šī nesa</w:t>
            </w:r>
            <w:r>
              <w:t>mērīgā resursu sloga piemērošanu. Mūsu ieskatā profesijas prestižs ir ceļams citā veidā – ar patiesu ieinteresētību medicīnas nozares sakārtotībā un izaugsmē, kuras pamatā ir rūpes par pacientu un tā drošību, nevis mākslīga štatu palielināšana.</w:t>
            </w:r>
            <w:r>
              <w:br/>
            </w:r>
            <w:r>
              <w:t xml:space="preserve">Būtisks ir tas apstāklis, ka nedz Noteikumos pašreiz ietvertās, nedz Projektā paredzētās medicīnas fiziķu un medicīnas </w:t>
            </w:r>
            <w:r>
              <w:lastRenderedPageBreak/>
              <w:t>fizikas slodzes diagnostiskajā radioloģijā nav pamatotas. Piemēram, Eiropas komisijas Aizsardzības no radiācijas Nr.174 Eiropas vadlīnijās (EC PR 17</w:t>
            </w:r>
            <w:r>
              <w:t>4) par medicīnas fizikas ekspertiem diagnostiskajā radioloģijā noteiktās slodzes ir krietni zemākas.</w:t>
            </w:r>
            <w:r>
              <w:br/>
            </w:r>
            <w:r>
              <w:br/>
            </w:r>
            <w:r>
              <w:t>Eiropas komisijas Aizsardzības no radiācijas Nr.174 Eiropas vadlīnijās (EC PR 174) noteikts, ka medicīnas fizikas dienestam paredzētā slodze ietver arī medicīnas fizikas ekspertam paredzēto slodzi, proti, medicīnas fizikas dienesta slodze ietver gan medicīnas fizikas ekspertu slodzi un citu darbinieku (medicīnas fiziķu) slodzes.</w:t>
            </w:r>
            <w:r>
              <w:br/>
            </w:r>
            <w:r>
              <w:t>Noteikumu izmaiņu Projektā noteikts, ka Nepieciešams nodrošināt vismaz vienu no</w:t>
            </w:r>
            <w:r>
              <w:t xml:space="preserve"> norādītajām medicīnas fiziķu vai medicīnas fizikas ekspertu slodzēm, vienlaikus ņemot vērā šo noteikumu 38.punktā noteikto </w:t>
            </w:r>
            <w:r>
              <w:lastRenderedPageBreak/>
              <w:t xml:space="preserve">prasību par medicīnas fizikas ekspertu iesaisti </w:t>
            </w:r>
            <w:proofErr w:type="spellStart"/>
            <w:r>
              <w:t>invazīvajā</w:t>
            </w:r>
            <w:proofErr w:type="spellEnd"/>
            <w:r>
              <w:t xml:space="preserve"> radioloģijā, </w:t>
            </w:r>
            <w:proofErr w:type="spellStart"/>
            <w:r>
              <w:t>kodolmedicīnā</w:t>
            </w:r>
            <w:proofErr w:type="spellEnd"/>
            <w:r>
              <w:t>, datortomogrāfijā un radioterapijā.</w:t>
            </w:r>
            <w:r>
              <w:br/>
            </w:r>
            <w:r>
              <w:t>Proti, Eiropas vadlīnijas paredz medicīnas fizikas dienestā medicīnas fizikas ekspertiem strādāt kopā ar medicīnas fiziķiem, bet Projektā izvirzītie nosacījumi mākslīgi rada tādus apstākļus, kuros ārstniecības iestādēm ekonomiski izdevīgāk ir izvēlēties štatā ietver</w:t>
            </w:r>
            <w:r>
              <w:t>t tikai medicīnas fizikas ekspertus.</w:t>
            </w:r>
            <w:r>
              <w:br/>
            </w:r>
            <w:r>
              <w:t>Kopumā secināms, ka medicīnas fiziķiem Latvijā nepamatoti paredzēts noteikt pat 4,3 reizes augstāku slodzi, kā to noteic Eiropas vadlīnijas. Savukārt, medicīnas fizikas ekspertiem pat 6,3 reizes augstāku slodzi, kā to noteic Eiropas vadlīnijas.</w:t>
            </w:r>
            <w:r>
              <w:br/>
            </w:r>
            <w:r>
              <w:t xml:space="preserve">2016. gada Eiropas Medicīnas fizikas organizāciju federācijas (EFOMP) politikas ziņojumā medicīnas fiziķu slodzes ir vēl zemākas kā Eiropas komisijas Aizsardzības no radiācijas Nr.174 </w:t>
            </w:r>
            <w:r>
              <w:lastRenderedPageBreak/>
              <w:t>Eiropas vadlīnijās (EC PR 174).</w:t>
            </w:r>
            <w:r>
              <w:br/>
            </w:r>
            <w:r>
              <w:t>Tādejādi Proje</w:t>
            </w:r>
            <w:r>
              <w:t>kts ne vien paredz nepamatoti augstas medicīnas fiziķu un medicīnas fizikas ekspertu minimālās darba slodzes, bet arī faktiski noniecina medicīnas fiziķu nozīmi salīdzinājumā ar medicīnas fizikas ekspertiem.</w:t>
            </w:r>
            <w:r>
              <w:br/>
            </w:r>
            <w:r>
              <w:t>Esam pārrunājuši minēto jautājumu ar vairākiem nozarē strādājošajiem medicīnas fizikas ekspertiem, kas pievienojas mūsu viedoklim un neredz pamatojumu šādām izmaiņām.</w:t>
            </w:r>
            <w:r>
              <w:br/>
            </w:r>
            <w:r>
              <w:t>Izdarām secinājumu, ka tikai atsevišķi nozarē strādājoši cilvēki ir ieinteresēti šādu prasību iekļaušanā Noteikumos. Ņemot vērā to, ka st</w:t>
            </w:r>
            <w:r>
              <w:t>raujš medicīnas fiziķu un medicīnas fizikas ekspertu pieaugums nav sagaidāms, iespējams, tas tiek darīts ar nolūku radīt mākslīgu pakalpojumu pieprasījumu (deficītu), kas ļautu atsevišķiem cilvēkiem gūt lielāku peļņu.</w:t>
            </w:r>
            <w:r>
              <w:br/>
            </w:r>
            <w:r>
              <w:t xml:space="preserve">Uzskatām, ka nepamatoti tiek </w:t>
            </w:r>
            <w:r>
              <w:lastRenderedPageBreak/>
              <w:t>ņemts vērā vienīgi atsevišķu medicīnas fizikas ekspertu viedoklis un lobētas viņu intereses. Mēs šādu rīcību neatbalstām un uzskatām par netaisnīgu pret pārējiem medicīnas fiziķiem, ārstniecības iestādēm un sabiedrību kopumā.</w:t>
            </w:r>
            <w:r>
              <w:br/>
            </w:r>
            <w:r>
              <w:br/>
            </w:r>
            <w:r>
              <w:t>Aicinām ārstniecības iestādes pievērst</w:t>
            </w:r>
            <w:r>
              <w:t xml:space="preserve"> uzmanību Projektā paredzētajām izmaiņām un vērtēt, vai tām būs finanses turpināt darbu arī pēc Noteikumu izmaiņu spēkā stāšanās. Kā arī vērtēt, kā operatori nodrošinās neizpildāmu Noteikumu izpildi.</w:t>
            </w:r>
            <w:r>
              <w:br/>
            </w:r>
            <w:r>
              <w:br/>
            </w:r>
            <w:r>
              <w:t xml:space="preserve">Mūs kopumā satrauc šo Noteikumu izstrādes process, jo arī tam veidotajā darba grupā (radiācijas drošības pasākumu pilnveidošanai medicīniskajā apstarošanā) nav sniegta iespēja piedalīties visiem interesantiem. 2022.gada 27.oktobrī Valsts vides dienesta Radiācijas drošības centra rīkotajā darba grupas </w:t>
            </w:r>
            <w:r>
              <w:lastRenderedPageBreak/>
              <w:t xml:space="preserve">sanāksmē </w:t>
            </w:r>
            <w:r>
              <w:t>tika norādīts, ka uz nākamo sanāksmi tiks aicināts plašs interesantu loks, tomēr uz 2022.gada 2.decembra sanāksmi netika aicinātas ārstniecības iestādes, kuras minētās izmaiņas varētu skart visbūtiskāk.</w:t>
            </w:r>
            <w:r>
              <w:br/>
            </w:r>
            <w:r>
              <w:br/>
            </w:r>
            <w:r>
              <w:t xml:space="preserve">Cita starpā Projektā paredzēts medicīnas fizikas ekspertiem piešķirtas papildus tiesības – veikt </w:t>
            </w:r>
            <w:proofErr w:type="spellStart"/>
            <w:r>
              <w:t>radioloģisko</w:t>
            </w:r>
            <w:proofErr w:type="spellEnd"/>
            <w:r>
              <w:t xml:space="preserve"> ierīču funkcionālās un elektrodrošības pārbaudes.</w:t>
            </w:r>
            <w:r>
              <w:br/>
            </w:r>
            <w:r>
              <w:t>Līdz šim pārbaudes veica vienīgi akreditētas institūcijas, kuras šādas tiesības iegūst tikai pēc valsts aģentūras “Latvijas Nacionālais akreditācija</w:t>
            </w:r>
            <w:r>
              <w:t xml:space="preserve">s birojs” veiktas novērtēšanas, kuras ietvaros notiek gan konkrēto cilvēku kompetences vērtēšana, gan </w:t>
            </w:r>
            <w:proofErr w:type="spellStart"/>
            <w:r>
              <w:t>mērlīdzekļu</w:t>
            </w:r>
            <w:proofErr w:type="spellEnd"/>
            <w:r>
              <w:t xml:space="preserve"> pieejamības, piemērotības un to kalibrēšanas derīguma pārbaude, gan metožu piemērotības pārbaude, gan arī tiek vērtēts praktiskais izpildījums, proti, notiek pārbaužu demonstrācija. Ārkārtīgi būtisks ir </w:t>
            </w:r>
            <w:r>
              <w:lastRenderedPageBreak/>
              <w:t>tas apstāklis, ka akreditētai institūcijai ir ne vien tiesības, bet arī pienākumi – strādāt atbilstoši standartu un aģentūras dokumentu prasībām. Savukārt gadījumā, ja institūcijas darbība nav at</w:t>
            </w:r>
            <w:r>
              <w:t>bilstoša, aģentūra pieprasa tai veikt atbilstošas korektīvās darbības (tostarp, attiecīgos gadījumos arī izdoto pārskatu atsaukšanu) un institūcijas akreditācija var tikt atcelta.</w:t>
            </w:r>
            <w:r>
              <w:br/>
            </w:r>
            <w:r>
              <w:t xml:space="preserve">Attiecībā uz medicīnas fizikas ekspertiem, Projektā ekspertiem paredzētas vienīgi tiesības veikt pārbaudes, bet nav paredzēti nekādi pienākumi, nav paredzēta </w:t>
            </w:r>
            <w:proofErr w:type="spellStart"/>
            <w:r>
              <w:t>mērlīdzekļu</w:t>
            </w:r>
            <w:proofErr w:type="spellEnd"/>
            <w:r>
              <w:t xml:space="preserve"> un metožu kontrole, nav prasību par to, kas un kādā veidā varēs novērst neatbilstošu darbību.</w:t>
            </w:r>
            <w:r>
              <w:br/>
            </w:r>
            <w:r>
              <w:t>Esam pārrunājuši arī šo jautājumu ar vairākiem nozarē strādājošajiem</w:t>
            </w:r>
            <w:r>
              <w:t xml:space="preserve"> medicīnas fizikas ekspertiem, kas norāda, ka, lai gan tiesības viņiem tiek piešķirtas (jau šobrīd sertifikātos ietverta atzīme par tiesībām veikt “tehnisko </w:t>
            </w:r>
            <w:r>
              <w:lastRenderedPageBreak/>
              <w:t xml:space="preserve">parametru mērījumus”), attiecīgu </w:t>
            </w:r>
            <w:proofErr w:type="spellStart"/>
            <w:r>
              <w:t>mērlīdzekļu</w:t>
            </w:r>
            <w:proofErr w:type="spellEnd"/>
            <w:r>
              <w:t xml:space="preserve"> viņu rīcībā nav, viņi negrasās tos iepirkt un negrasās uzsākt veikt pārbaudes.</w:t>
            </w:r>
            <w:r>
              <w:br/>
            </w:r>
            <w:r>
              <w:t>Izdarām secinājumu, ka tikai pāris atsevišķi cilvēki nozarē ir ieinteresēti šādu prasību iekļaušanā Noteikumos. Pārdomas raisa tas apstāklis, ka vairāki no medicīnas fizikas ekspertiem iepriekš ir darbojušies akreditētās institūcij</w:t>
            </w:r>
            <w:r>
              <w:t>ās, kurām ir atcelta akreditācija neatbilstošu darbību dēļ, proti, vai ar šādām Noteikumu izmaiņām netiek lobētas viņu intereses turpināt piedāvāt pārbaužu pakalpojumu, taču tagad bez kontroles un uzraudzības.</w:t>
            </w:r>
            <w:r>
              <w:br/>
            </w:r>
            <w:r>
              <w:br/>
            </w:r>
            <w:r>
              <w:t xml:space="preserve">Projektā nav ietverti nekādi uzraudzības pasākumi arī attiecībā uz ražotājiem, ražotāju pārstāvjiem. Proti, pārbaužu veikšana tiek nodota privātpersonu pārziņā, kas turklāt var būt ieinteresētas pārbaudes iznākumā. Ierīces garantijas laikā ražotāju pārstāvji var būt </w:t>
            </w:r>
            <w:r>
              <w:lastRenderedPageBreak/>
              <w:t>ieinteresēti nekonstatēt neatbilst</w:t>
            </w:r>
            <w:r>
              <w:t xml:space="preserve">ības ierīces darbībā, lai neveiktu bezmaksas remontus, neveiktu apmaksu par iekārtas dīkstāves laiku, savukārt </w:t>
            </w:r>
            <w:proofErr w:type="spellStart"/>
            <w:r>
              <w:t>pēcgarantijas</w:t>
            </w:r>
            <w:proofErr w:type="spellEnd"/>
            <w:r>
              <w:t xml:space="preserve"> laikā gluži pretēji var būt ieinteresēti konstatēt neatbilstības ar mērķi slēgt remontdarbu līgumus. Jāņem vērā, ka Latvijā bieži vien ražotāju pārstāvim ir monopola tiesības sniegt ierīces remonta pakalpojumus.</w:t>
            </w:r>
            <w:r>
              <w:br/>
            </w:r>
            <w:r>
              <w:t>Pārbaužu veikšanu nododot iespējami ieinteresētu privātpersonu pārziņā netiek paredzēta darbību uzraudzība no valsts puses. Nav paredzētas nekādas prasības attiecībā uz pārbau</w:t>
            </w:r>
            <w:r>
              <w:t>žu darbības apturēšanu, ja tajā konstatēti pārkāpumi. Nav paredzētas nekādas prasības attiecībā uz izdoto pārbaužu pārskatu atsaukšanu, ja konstatējams, ka pārbaudes veiktas neatbilstoši, kā arī attiecībā uz konstatējuma izplatības analīzi.</w:t>
            </w:r>
            <w:r>
              <w:br/>
            </w:r>
            <w:r>
              <w:lastRenderedPageBreak/>
              <w:br/>
            </w:r>
            <w:r>
              <w:t>Cita starpā, tiek veidoti nevienlīdzīgi konkurences apstākļi starp akreditētām institūcijām un citiem potenciālajiem pārbaužu veicējiem. Proti, citiem potenciālajiem pārbaužu veicējiem nav noteikti uzraudzības pasākumi, kamēr akreditētām institūcijām tie notiek akreditā</w:t>
            </w:r>
            <w:r>
              <w:t>cijas auditu ietvaros. Tāpat nav paredzēti mehānismi citu potenciālo pārbaužu veicēju neatbilstošu tehniskās uzraudzības darbību apturēšanai vai izsniegto pārskatu atsaukšanai. Akreditētu institūciju gadījumā valsts aģentūrai “Latvijas Nacionālais akreditācijas birojs” ir pilnvaras apturēt, atcelt akreditāciju, pieprasīt korektīvās darbības, kā pārskatu atsaukšanu.</w:t>
            </w:r>
            <w:r>
              <w:br/>
            </w:r>
            <w:r>
              <w:t>Kā iespējamais risinājums norādītajām problēmām ir noteikt vienotu prasību par akreditāciju (līdzvērtīgas prasības) visiem pārbaužu veicējiem, k</w:t>
            </w:r>
            <w:r>
              <w:t>as drīkst veikt pārbaudes.</w:t>
            </w:r>
            <w:r>
              <w:br/>
            </w:r>
            <w:r>
              <w:lastRenderedPageBreak/>
              <w:br/>
            </w:r>
            <w:r>
              <w:t xml:space="preserve">Atgādinām, ka Noteikumi aizvien paredz, ka vispārēja atbildība par to, lai </w:t>
            </w:r>
            <w:proofErr w:type="spellStart"/>
            <w:r>
              <w:t>radioloģiskai</w:t>
            </w:r>
            <w:proofErr w:type="spellEnd"/>
            <w:r>
              <w:t xml:space="preserve"> ierīcei tiktu veikta elektrodrošības un funkcionālā pārbaude, ir operatoram. Aicinām ārstniecības iestādes vērtēt, kā tās kā operatori nodrošinās, ka pārbaudes tiek veiktas atbilstoši.</w:t>
            </w:r>
            <w:r>
              <w:br/>
            </w:r>
            <w:r>
              <w:br/>
            </w:r>
            <w:r>
              <w:t>Aicinām Vides aizsardzības un reģionālās attīstības ministriju ņemt vērā šos iebildumus un pārskatīt publicētajā Projektā ietvertās prasības.</w:t>
            </w:r>
          </w:p>
        </w:tc>
        <w:tc>
          <w:tcPr>
            <w:tcW w:w="1650" w:type="dxa"/>
            <w:shd w:val="clear" w:color="auto" w:fill="FFFFFF"/>
            <w:noWrap/>
            <w:tcMar>
              <w:top w:w="75" w:type="dxa"/>
              <w:left w:w="75" w:type="dxa"/>
              <w:bottom w:w="75" w:type="dxa"/>
              <w:right w:w="75" w:type="dxa"/>
            </w:tcMar>
            <w:vAlign w:val="center"/>
          </w:tcPr>
          <w:p w14:paraId="1DEA9A61" w14:textId="45A74E5D" w:rsidR="00FA6D3D" w:rsidRPr="00B61124" w:rsidRDefault="00B61124">
            <w:pPr>
              <w:jc w:val="left"/>
              <w:rPr>
                <w:b/>
                <w:bCs/>
              </w:rPr>
            </w:pPr>
            <w:r w:rsidRPr="00B61124">
              <w:rPr>
                <w:b/>
                <w:bCs/>
              </w:rPr>
              <w:lastRenderedPageBreak/>
              <w:t>Daļēji ņemts vērā</w:t>
            </w:r>
          </w:p>
        </w:tc>
        <w:tc>
          <w:tcPr>
            <w:tcW w:w="4056" w:type="dxa"/>
            <w:shd w:val="clear" w:color="auto" w:fill="FFFFFF"/>
            <w:noWrap/>
            <w:tcMar>
              <w:top w:w="75" w:type="dxa"/>
              <w:left w:w="75" w:type="dxa"/>
              <w:bottom w:w="75" w:type="dxa"/>
              <w:right w:w="75" w:type="dxa"/>
            </w:tcMar>
            <w:vAlign w:val="center"/>
          </w:tcPr>
          <w:p w14:paraId="6FAF1515" w14:textId="77777777" w:rsidR="00FA6D3D" w:rsidRDefault="00B61124">
            <w:pPr>
              <w:jc w:val="left"/>
            </w:pPr>
            <w:r w:rsidRPr="00B61124">
              <w:rPr>
                <w:b/>
                <w:bCs/>
              </w:rPr>
              <w:t>Daļēji ņemts vērā</w:t>
            </w:r>
            <w:r>
              <w:t xml:space="preserve"> attiecībā uz medicīnas fiziķu/ medicīnas fizikas ekspertu slodzēm.</w:t>
            </w:r>
          </w:p>
          <w:p w14:paraId="37B0A55D" w14:textId="77777777" w:rsidR="00B61124" w:rsidRDefault="00B61124">
            <w:pPr>
              <w:jc w:val="left"/>
            </w:pPr>
          </w:p>
          <w:p w14:paraId="38AA7677" w14:textId="77777777" w:rsidR="00B61124" w:rsidRDefault="00B61124">
            <w:pPr>
              <w:jc w:val="left"/>
              <w:rPr>
                <w:szCs w:val="28"/>
              </w:rPr>
            </w:pPr>
            <w:r w:rsidRPr="251051CF">
              <w:rPr>
                <w:b/>
                <w:bCs/>
                <w:szCs w:val="28"/>
              </w:rPr>
              <w:t>Nav ņemts vērā</w:t>
            </w:r>
            <w:r w:rsidRPr="251051CF">
              <w:rPr>
                <w:szCs w:val="28"/>
              </w:rPr>
              <w:t xml:space="preserve"> viedoklis par medicīnas fizikas ekspertu, ražotāju un ražotāju servisa pārstāvju tiesībām veikt tehnisko parametru atbilstības pārbaudes</w:t>
            </w:r>
            <w:r>
              <w:rPr>
                <w:szCs w:val="28"/>
              </w:rPr>
              <w:t>.</w:t>
            </w:r>
          </w:p>
          <w:p w14:paraId="7E8F75FD" w14:textId="77777777" w:rsidR="0062699E" w:rsidRDefault="0062699E" w:rsidP="0062699E">
            <w:pPr>
              <w:jc w:val="left"/>
            </w:pPr>
            <w:r w:rsidRPr="251051CF">
              <w:rPr>
                <w:szCs w:val="28"/>
              </w:rPr>
              <w:t xml:space="preserve">Jāņem vērā, ka </w:t>
            </w:r>
            <w:proofErr w:type="spellStart"/>
            <w:r w:rsidRPr="251051CF">
              <w:rPr>
                <w:szCs w:val="28"/>
              </w:rPr>
              <w:t>radiodiagnostikā</w:t>
            </w:r>
            <w:proofErr w:type="spellEnd"/>
            <w:r w:rsidRPr="251051CF">
              <w:rPr>
                <w:szCs w:val="28"/>
              </w:rPr>
              <w:t xml:space="preserve"> un radioterapijā ieviešot jaunākās tehnoloģijas, mainās tehnisko parametru kopums, kas ir jāpārbauda, nodrošinot ražotāju sniegtās rekomendācijas un izmantojot starptautiskās vadlīnijas.</w:t>
            </w:r>
          </w:p>
          <w:p w14:paraId="60AE650B" w14:textId="77777777" w:rsidR="0062699E" w:rsidRDefault="0062699E" w:rsidP="0062699E">
            <w:pPr>
              <w:rPr>
                <w:szCs w:val="28"/>
              </w:rPr>
            </w:pPr>
            <w:r w:rsidRPr="251051CF">
              <w:rPr>
                <w:szCs w:val="28"/>
              </w:rPr>
              <w:t xml:space="preserve">Tāpat ir apzināts, ka jāpaplašina speciālistu loks, kas var veikt </w:t>
            </w:r>
            <w:proofErr w:type="spellStart"/>
            <w:r w:rsidRPr="251051CF">
              <w:rPr>
                <w:szCs w:val="28"/>
              </w:rPr>
              <w:t>radioloģisko</w:t>
            </w:r>
            <w:proofErr w:type="spellEnd"/>
            <w:r w:rsidRPr="251051CF">
              <w:rPr>
                <w:szCs w:val="28"/>
              </w:rPr>
              <w:t xml:space="preserve"> ierīču būtiskāko tehnisko parametru pārbaudes, ievērojot kvalifikācijas palielināšanos ārstniecības iestādes darbiniekiem (medicīnas fiziķiem), gūto pieredzi tehnisko parametru pārbaudēs, citu valstu pieredzi, kā arī Ministru kabineta 15.08.2023.  noteikumu Nr. 461 </w:t>
            </w:r>
            <w:r w:rsidRPr="251051CF">
              <w:rPr>
                <w:szCs w:val="28"/>
              </w:rPr>
              <w:lastRenderedPageBreak/>
              <w:t>“Medicīnisko ierīču noteikumi” 58.punktā noteikto, ka medicīnisko ierīču tehnisko uzraudzību veic medicīnisko ierīču ražotāji, pilnvarotie pārstāvji vai ražotāju pārstāvji (izplatītāji), vai tehniskās inspicēšanas institūcijas.  </w:t>
            </w:r>
          </w:p>
          <w:p w14:paraId="1D6733D6" w14:textId="77777777" w:rsidR="0062699E" w:rsidRDefault="0062699E" w:rsidP="0062699E">
            <w:pPr>
              <w:jc w:val="left"/>
            </w:pPr>
            <w:r w:rsidRPr="251051CF">
              <w:rPr>
                <w:szCs w:val="28"/>
              </w:rPr>
              <w:t>Latvijā ir divas inspicēšanas institūcijas, kuras ir akreditētas.</w:t>
            </w:r>
          </w:p>
          <w:p w14:paraId="1B3C4E3E" w14:textId="77777777" w:rsidR="0062699E" w:rsidRDefault="0062699E" w:rsidP="0062699E">
            <w:pPr>
              <w:jc w:val="left"/>
              <w:rPr>
                <w:szCs w:val="28"/>
              </w:rPr>
            </w:pPr>
            <w:r w:rsidRPr="251051CF">
              <w:rPr>
                <w:color w:val="auto"/>
                <w:szCs w:val="28"/>
              </w:rPr>
              <w:t xml:space="preserve">Noteikumu Projektā akreditētās institūcijas netiek izslēgtas  un arī turpmāk operatori var izmantot to pakalpojumus </w:t>
            </w:r>
            <w:proofErr w:type="spellStart"/>
            <w:r w:rsidRPr="251051CF">
              <w:rPr>
                <w:color w:val="auto"/>
                <w:szCs w:val="28"/>
              </w:rPr>
              <w:t>radioloģisko</w:t>
            </w:r>
            <w:proofErr w:type="spellEnd"/>
            <w:r w:rsidRPr="251051CF">
              <w:rPr>
                <w:color w:val="auto"/>
                <w:szCs w:val="28"/>
              </w:rPr>
              <w:t xml:space="preserve"> iekārtu uzraudzībā. Vienlaikus Projektā dota iespēja attīstīties medicīnas fizikas ekspertu, </w:t>
            </w:r>
            <w:r w:rsidRPr="251051CF">
              <w:rPr>
                <w:szCs w:val="28"/>
              </w:rPr>
              <w:t>ražotāju vai ražotāja pārstāvju kompetencei un prasmēm, lai varētu atbilst projektā paredzētajām prasībām:</w:t>
            </w:r>
          </w:p>
          <w:p w14:paraId="73926E85" w14:textId="77777777" w:rsidR="0062699E" w:rsidRDefault="0062699E" w:rsidP="0062699E">
            <w:pPr>
              <w:rPr>
                <w:szCs w:val="28"/>
              </w:rPr>
            </w:pPr>
            <w:r w:rsidRPr="251051CF">
              <w:rPr>
                <w:szCs w:val="28"/>
              </w:rPr>
              <w:t xml:space="preserve">“61.punkts. Ja </w:t>
            </w:r>
            <w:proofErr w:type="spellStart"/>
            <w:r w:rsidRPr="251051CF">
              <w:rPr>
                <w:szCs w:val="28"/>
              </w:rPr>
              <w:t>radioloģisko</w:t>
            </w:r>
            <w:proofErr w:type="spellEnd"/>
            <w:r w:rsidRPr="251051CF">
              <w:rPr>
                <w:szCs w:val="28"/>
              </w:rPr>
              <w:t xml:space="preserve"> ierīču pārbaudes, kas noteiktas šo noteikumu 59. un 62. punktā veic ražotājs, ražotāja servisa pārstāvis, medicīnas fizikas eksperts vai medicīnas fiziķis radiācijas drošības kvalitātes nodrošināšanas programmā iekļauj pārbaužu </w:t>
            </w:r>
            <w:r w:rsidRPr="251051CF">
              <w:rPr>
                <w:szCs w:val="28"/>
              </w:rPr>
              <w:lastRenderedPageBreak/>
              <w:t>metodikas, mērījumu protokolu veidlapas, kalibrētu mēriekārtu uzskaitījumu ar to nenoteiktībām un  metodi mērījumu nenoteiktību noteikšanai. Metodikas izmaiņas gadījumā radiācijas drošības kvalitātes nodrošināšanas programmu iesniedz saskaņošanai centrā vismaz mēnesi pirms metodikas izmaiņu ieviešanas.”</w:t>
            </w:r>
          </w:p>
          <w:p w14:paraId="53A6E7E4" w14:textId="77777777" w:rsidR="0062699E" w:rsidRDefault="0062699E" w:rsidP="0062699E">
            <w:pPr>
              <w:rPr>
                <w:szCs w:val="28"/>
              </w:rPr>
            </w:pPr>
          </w:p>
          <w:p w14:paraId="451AEE2B" w14:textId="77777777" w:rsidR="0062699E" w:rsidRDefault="0062699E" w:rsidP="0062699E">
            <w:pPr>
              <w:spacing w:line="259" w:lineRule="auto"/>
              <w:jc w:val="left"/>
              <w:rPr>
                <w:szCs w:val="28"/>
              </w:rPr>
            </w:pPr>
            <w:r w:rsidRPr="251051CF">
              <w:rPr>
                <w:szCs w:val="28"/>
              </w:rPr>
              <w:t xml:space="preserve">Saskaņā ar likumu “Par radiācijas drošību un kodoldrošību” tehnisko parametru pārbaužu veikšanai nepieciešams saņemt VVD RDC izsniegtu licenci darbībām ar jonizējošā starojuma avotiem saskaņā ar Ministru kabineta 2021. gada 28. janvāra noteikumiem Nr. 65 </w:t>
            </w:r>
            <w:r w:rsidRPr="251051CF">
              <w:rPr>
                <w:szCs w:val="28"/>
                <w:u w:val="single"/>
              </w:rPr>
              <w:t>“</w:t>
            </w:r>
            <w:hyperlink r:id="rId6">
              <w:r w:rsidRPr="251051CF">
                <w:rPr>
                  <w:rStyle w:val="Hyperlink"/>
                  <w:szCs w:val="28"/>
                </w:rPr>
                <w:t>Darbību ar jonizējošā starojuma avotiem paziņošanas, reģistrēšanas un licencēšanas noteikumi”</w:t>
              </w:r>
            </w:hyperlink>
          </w:p>
          <w:p w14:paraId="352FC761" w14:textId="77777777" w:rsidR="0062699E" w:rsidRDefault="0062699E" w:rsidP="0062699E">
            <w:pPr>
              <w:rPr>
                <w:szCs w:val="28"/>
              </w:rPr>
            </w:pPr>
            <w:r w:rsidRPr="251051CF">
              <w:rPr>
                <w:szCs w:val="28"/>
              </w:rPr>
              <w:t xml:space="preserve">Tādejādi inspicēšanas institūcijai, ražotājam, ražotāja pārstāvim un medicīnas fizikas ekspertam (ja eksperts piedāvās pārbaudes kā </w:t>
            </w:r>
            <w:r w:rsidRPr="251051CF">
              <w:rPr>
                <w:szCs w:val="28"/>
              </w:rPr>
              <w:lastRenderedPageBreak/>
              <w:t>pakalpojumu) būs jāsaņem VVD RDC licence darbībām ar jonizējošā starojuma avotiem. Savukārt, ja ārstniecības iestādes medicīnas fizikas eksperts veiks šīs pārbaudes, tad atsevišķi licence ārstniecības iestādei nebūs jāsaņem, pārbaudes tiks veiktas ārstniecības iestādes licences ietvaros un būs radiācijas drošības kvalitātes nodrošināšanas programmā jāiekļauj pārbaužu metodikas, mērījumu protokolu veidlapas, kalibrētu mēriekārtu uzskaitījums ar to nenoteiktībām un  metode mērījumu nenoteiktību noteikšanai un programmu skaņos VVD RDC. </w:t>
            </w:r>
          </w:p>
          <w:p w14:paraId="0500B354" w14:textId="77777777" w:rsidR="0062699E" w:rsidRDefault="0062699E" w:rsidP="0062699E">
            <w:pPr>
              <w:rPr>
                <w:szCs w:val="28"/>
              </w:rPr>
            </w:pPr>
            <w:r w:rsidRPr="251051CF">
              <w:rPr>
                <w:szCs w:val="28"/>
              </w:rPr>
              <w:t xml:space="preserve">Attiecībā uz medicīnas fizikas ekspertiem jāņem vērā, ka Ministru kabineta 2021.gada 29.jūnija noteikumos Nr.433 </w:t>
            </w:r>
            <w:hyperlink r:id="rId7">
              <w:r w:rsidRPr="251051CF">
                <w:rPr>
                  <w:rStyle w:val="Hyperlink"/>
                  <w:szCs w:val="28"/>
                </w:rPr>
                <w:t>“Radiācijas drošības ekspertu un medicīnas fizikas ekspertu noteikumi”</w:t>
              </w:r>
            </w:hyperlink>
            <w:r w:rsidRPr="251051CF">
              <w:rPr>
                <w:szCs w:val="28"/>
              </w:rPr>
              <w:t xml:space="preserve">  noteikts, ka medicīnisko </w:t>
            </w:r>
            <w:proofErr w:type="spellStart"/>
            <w:r w:rsidRPr="251051CF">
              <w:rPr>
                <w:szCs w:val="28"/>
              </w:rPr>
              <w:t>radioloģisko</w:t>
            </w:r>
            <w:proofErr w:type="spellEnd"/>
            <w:r w:rsidRPr="251051CF">
              <w:rPr>
                <w:szCs w:val="28"/>
              </w:rPr>
              <w:t xml:space="preserve"> ierīču tehnisko parametru novērtēšanu saskaņā ar normatīvajiem aktiem </w:t>
            </w:r>
            <w:r w:rsidRPr="251051CF">
              <w:rPr>
                <w:szCs w:val="28"/>
              </w:rPr>
              <w:lastRenderedPageBreak/>
              <w:t>par aizsardzību pret jonizējošo starojumu medicīniskajā apstarošanā var veikt medicīnas fizikas eksperts, kurš saņēmis sertifikātu mērījumu veikšanai. MK noteikumos Nr.433 noteikta arī ekspertu sertificēšanas kārtība. Tādejādi VVD RDC izvērtē medicīnas fizikas eksperts kvalifikāciju un izsniedz sertifikātu. </w:t>
            </w:r>
          </w:p>
          <w:p w14:paraId="06EC3DE3" w14:textId="77777777" w:rsidR="0062699E" w:rsidRDefault="0062699E" w:rsidP="0062699E">
            <w:pPr>
              <w:rPr>
                <w:szCs w:val="28"/>
              </w:rPr>
            </w:pPr>
            <w:r w:rsidRPr="251051CF">
              <w:rPr>
                <w:szCs w:val="28"/>
              </w:rPr>
              <w:t>Savukārt ārstniecības iestādes medicīnas fizikas ekspertiem un medicīnas fiziķiem pārbaužu veikšanai konkrētajā ārstniecības iestādē noteikta prasība kvalitātes nodrošināšanas programmā aprakstīt pārbaužu veikšanas kārtību. VVD RDC nodrošina uzraudzību, izvērtējot un saskaņojot šīs programmas. Projekts arī paredz, ka metodikas izmaiņas gadījumā radiācijas drošības kvalitātes nodrošināšanas programmu iesniedz saskaņošanai VVD RDC vismaz mēnesi pirms metodikas izmaiņu ieviešanas. </w:t>
            </w:r>
          </w:p>
          <w:p w14:paraId="300EF2ED" w14:textId="77777777" w:rsidR="0062699E" w:rsidRDefault="0062699E" w:rsidP="0062699E">
            <w:pPr>
              <w:spacing w:line="259" w:lineRule="auto"/>
              <w:jc w:val="left"/>
              <w:rPr>
                <w:color w:val="auto"/>
                <w:szCs w:val="28"/>
              </w:rPr>
            </w:pPr>
            <w:r w:rsidRPr="251051CF">
              <w:rPr>
                <w:color w:val="auto"/>
                <w:szCs w:val="28"/>
              </w:rPr>
              <w:t xml:space="preserve">Operatoriem, kas nav pakļauti </w:t>
            </w:r>
            <w:r w:rsidRPr="251051CF">
              <w:rPr>
                <w:color w:val="auto"/>
                <w:szCs w:val="28"/>
              </w:rPr>
              <w:lastRenderedPageBreak/>
              <w:t>akreditācijas procesam, bet sniedz pakalpojumu par noteiktu mērījumu veikšanu, VVD RDC licencēšanas procesā operatoram pieprasa informāciju par izmantojamām mēriekārtām un to kalibrēšanu, kalibrēšanas pārskatiem.</w:t>
            </w:r>
          </w:p>
          <w:p w14:paraId="4C314019" w14:textId="0EC4ABCB" w:rsidR="0062699E" w:rsidRDefault="0062699E">
            <w:pPr>
              <w:jc w:val="left"/>
            </w:pPr>
          </w:p>
        </w:tc>
      </w:tr>
      <w:tr w:rsidR="00FA6D3D" w14:paraId="781DF151" w14:textId="77777777">
        <w:tc>
          <w:tcPr>
            <w:tcW w:w="750" w:type="dxa"/>
            <w:shd w:val="clear" w:color="auto" w:fill="FFFFFF"/>
            <w:noWrap/>
            <w:tcMar>
              <w:top w:w="75" w:type="dxa"/>
              <w:left w:w="75" w:type="dxa"/>
              <w:bottom w:w="75" w:type="dxa"/>
              <w:right w:w="75" w:type="dxa"/>
            </w:tcMar>
            <w:vAlign w:val="center"/>
          </w:tcPr>
          <w:p w14:paraId="55484C31" w14:textId="77777777" w:rsidR="00FA6D3D" w:rsidRDefault="00F27F72">
            <w:pPr>
              <w:jc w:val="center"/>
            </w:pPr>
            <w:r>
              <w:lastRenderedPageBreak/>
              <w:t>6.</w:t>
            </w:r>
          </w:p>
        </w:tc>
        <w:tc>
          <w:tcPr>
            <w:tcW w:w="4055" w:type="dxa"/>
            <w:shd w:val="clear" w:color="auto" w:fill="FFFFFF"/>
            <w:noWrap/>
            <w:tcMar>
              <w:top w:w="75" w:type="dxa"/>
              <w:left w:w="75" w:type="dxa"/>
              <w:bottom w:w="75" w:type="dxa"/>
              <w:right w:w="75" w:type="dxa"/>
            </w:tcMar>
            <w:vAlign w:val="center"/>
          </w:tcPr>
          <w:p w14:paraId="519FCC37" w14:textId="77777777" w:rsidR="00FA6D3D" w:rsidRDefault="00F27F72">
            <w:pPr>
              <w:jc w:val="left"/>
            </w:pPr>
            <w:r>
              <w:t>Fiziska persona</w:t>
            </w:r>
          </w:p>
        </w:tc>
        <w:tc>
          <w:tcPr>
            <w:tcW w:w="4056" w:type="dxa"/>
            <w:shd w:val="clear" w:color="auto" w:fill="FFFFFF"/>
            <w:noWrap/>
            <w:tcMar>
              <w:top w:w="75" w:type="dxa"/>
              <w:left w:w="75" w:type="dxa"/>
              <w:bottom w:w="75" w:type="dxa"/>
              <w:right w:w="75" w:type="dxa"/>
            </w:tcMar>
            <w:vAlign w:val="center"/>
          </w:tcPr>
          <w:p w14:paraId="7A6A40B4" w14:textId="77777777" w:rsidR="00FA6D3D" w:rsidRDefault="00F27F72">
            <w:pPr>
              <w:jc w:val="left"/>
            </w:pPr>
            <w:r>
              <w:t>Priekšlikums samazināt pārbaužu tehnisko parametru apjomu 5. pielikuma 2. tabulas sadaļā “VIII Lineārie paātrinātāji”.</w:t>
            </w:r>
            <w:r>
              <w:br/>
            </w:r>
            <w:r>
              <w:br/>
            </w:r>
            <w:r>
              <w:t xml:space="preserve">5. pielikuma 3. tabulas sadaļas “XIII. Gamma kamera” tehniskajam parametram Nr. 1 “Attēlu homogenitāte lietojamā lauka robežās (ar </w:t>
            </w:r>
            <w:proofErr w:type="spellStart"/>
            <w:r>
              <w:t>kolimatoru</w:t>
            </w:r>
            <w:proofErr w:type="spellEnd"/>
            <w:r>
              <w:t>)”</w:t>
            </w:r>
            <w:r>
              <w:br/>
            </w:r>
            <w:r>
              <w:t xml:space="preserve">Iebildums: Tc-99m </w:t>
            </w:r>
            <w:proofErr w:type="spellStart"/>
            <w:r>
              <w:t>lapveida</w:t>
            </w:r>
            <w:proofErr w:type="spellEnd"/>
            <w:r>
              <w:t xml:space="preserve"> avota </w:t>
            </w:r>
            <w:r>
              <w:lastRenderedPageBreak/>
              <w:t xml:space="preserve">izmantošana var nesniegt precīzus mērījumu rezultātus, lai pamatoti konstatētu atbilstību / neatbilstību, ņemot vērā, ka avota sagatavošanas procesā netiek pārbaudīta Tc-99m </w:t>
            </w:r>
            <w:proofErr w:type="spellStart"/>
            <w:r>
              <w:t>lapveida</w:t>
            </w:r>
            <w:proofErr w:type="spellEnd"/>
            <w:r>
              <w:t xml:space="preserve"> avota nodrošinātā homogenitāte, salīdzinoši ar sertificētu Co-57 </w:t>
            </w:r>
            <w:proofErr w:type="spellStart"/>
            <w:r>
              <w:t>lapveida</w:t>
            </w:r>
            <w:proofErr w:type="spellEnd"/>
            <w:r>
              <w:t xml:space="preserve"> avotu. Līdz ar to par Tc-99m </w:t>
            </w:r>
            <w:proofErr w:type="spellStart"/>
            <w:r>
              <w:t>lapveida</w:t>
            </w:r>
            <w:proofErr w:type="spellEnd"/>
            <w:r>
              <w:t xml:space="preserve"> avota homogenitāti pārbaudes veicējam </w:t>
            </w:r>
            <w:r>
              <w:t xml:space="preserve">būtu jāveic pat vairākkārtēja avota pārpozicionēšana, lai vispār gūtu pārliecību, ka avota </w:t>
            </w:r>
            <w:proofErr w:type="spellStart"/>
            <w:r>
              <w:t>nehomogēnitāte</w:t>
            </w:r>
            <w:proofErr w:type="spellEnd"/>
            <w:r>
              <w:t xml:space="preserve"> nav iemesls nepareizam rezultātam.</w:t>
            </w:r>
            <w:r>
              <w:br/>
            </w:r>
            <w:r>
              <w:t xml:space="preserve">Priekšlikums: Tehniska parametra Nr. 1 pārbaudei izmantot tikai Co-57 </w:t>
            </w:r>
            <w:proofErr w:type="spellStart"/>
            <w:r>
              <w:t>lapveida</w:t>
            </w:r>
            <w:proofErr w:type="spellEnd"/>
            <w:r>
              <w:t xml:space="preserve"> avotu ar sertificētu homogenitāti ± 1% robežās, ko mēra aptuveni 1 cm2 apgabalos atbilstoši IEC TR 61948-2 standarta prasībām.</w:t>
            </w:r>
            <w:r>
              <w:br/>
            </w:r>
          </w:p>
        </w:tc>
        <w:tc>
          <w:tcPr>
            <w:tcW w:w="1650" w:type="dxa"/>
            <w:shd w:val="clear" w:color="auto" w:fill="FFFFFF"/>
            <w:noWrap/>
            <w:tcMar>
              <w:top w:w="75" w:type="dxa"/>
              <w:left w:w="75" w:type="dxa"/>
              <w:bottom w:w="75" w:type="dxa"/>
              <w:right w:w="75" w:type="dxa"/>
            </w:tcMar>
            <w:vAlign w:val="center"/>
          </w:tcPr>
          <w:p w14:paraId="59413AB7" w14:textId="1AD1DE49" w:rsidR="00FA6D3D" w:rsidRPr="0062699E" w:rsidRDefault="0062699E">
            <w:pPr>
              <w:jc w:val="left"/>
              <w:rPr>
                <w:b/>
                <w:bCs/>
              </w:rPr>
            </w:pPr>
            <w:r w:rsidRPr="0062699E">
              <w:rPr>
                <w:b/>
                <w:bCs/>
              </w:rPr>
              <w:lastRenderedPageBreak/>
              <w:t>Netiek ņemts vērā</w:t>
            </w:r>
          </w:p>
        </w:tc>
        <w:tc>
          <w:tcPr>
            <w:tcW w:w="4056" w:type="dxa"/>
            <w:shd w:val="clear" w:color="auto" w:fill="FFFFFF"/>
            <w:noWrap/>
            <w:tcMar>
              <w:top w:w="75" w:type="dxa"/>
              <w:left w:w="75" w:type="dxa"/>
              <w:bottom w:w="75" w:type="dxa"/>
              <w:right w:w="75" w:type="dxa"/>
            </w:tcMar>
            <w:vAlign w:val="center"/>
          </w:tcPr>
          <w:p w14:paraId="1CF9DD90" w14:textId="77777777" w:rsidR="0062699E" w:rsidRDefault="0062699E" w:rsidP="0062699E">
            <w:pPr>
              <w:jc w:val="left"/>
              <w:rPr>
                <w:szCs w:val="28"/>
              </w:rPr>
            </w:pPr>
            <w:r w:rsidRPr="5CB90C96">
              <w:rPr>
                <w:szCs w:val="28"/>
              </w:rPr>
              <w:t xml:space="preserve">Priekšlikums samazināt tehnisko parametru apjomu 5. pielikuma 2. tabulas sadaļā “VIII Lineārie paātrinātāji” netiek ņemts vērā, jo nav sniegts konkrēts priekšlikums. </w:t>
            </w:r>
          </w:p>
          <w:p w14:paraId="38B5963D" w14:textId="77777777" w:rsidR="0062699E" w:rsidRDefault="0062699E" w:rsidP="0062699E">
            <w:pPr>
              <w:jc w:val="left"/>
              <w:rPr>
                <w:szCs w:val="28"/>
              </w:rPr>
            </w:pPr>
          </w:p>
          <w:p w14:paraId="295185AB" w14:textId="77777777" w:rsidR="0062699E" w:rsidRDefault="0062699E" w:rsidP="0062699E">
            <w:pPr>
              <w:spacing w:after="120"/>
              <w:rPr>
                <w:i/>
                <w:iCs/>
                <w:color w:val="000000" w:themeColor="text1"/>
                <w:sz w:val="22"/>
                <w:szCs w:val="22"/>
                <w:lang w:val="en-US"/>
              </w:rPr>
            </w:pPr>
            <w:r w:rsidRPr="5CB90C96">
              <w:rPr>
                <w:szCs w:val="28"/>
              </w:rPr>
              <w:t xml:space="preserve">Priekšlikums 5. pielikuma 3. tabulas sadaļas “XIII. Gamma kamera” tehniskajam parametram Nr. 1 “Attēlu homogenitāte lietojamā lauka robežās (ar </w:t>
            </w:r>
            <w:proofErr w:type="spellStart"/>
            <w:r w:rsidRPr="5CB90C96">
              <w:rPr>
                <w:szCs w:val="28"/>
              </w:rPr>
              <w:lastRenderedPageBreak/>
              <w:t>kolimatoru</w:t>
            </w:r>
            <w:proofErr w:type="spellEnd"/>
            <w:r w:rsidRPr="5CB90C96">
              <w:rPr>
                <w:szCs w:val="28"/>
              </w:rPr>
              <w:t>)”</w:t>
            </w:r>
            <w:r>
              <w:br/>
            </w:r>
            <w:r w:rsidRPr="5CB90C96">
              <w:rPr>
                <w:szCs w:val="28"/>
              </w:rPr>
              <w:t xml:space="preserve">tehniska parametra  pārbaudei izmantot tikai Co-57 </w:t>
            </w:r>
            <w:proofErr w:type="spellStart"/>
            <w:r w:rsidRPr="5CB90C96">
              <w:rPr>
                <w:szCs w:val="28"/>
              </w:rPr>
              <w:t>lapveida</w:t>
            </w:r>
            <w:proofErr w:type="spellEnd"/>
            <w:r w:rsidRPr="5CB90C96">
              <w:rPr>
                <w:szCs w:val="28"/>
              </w:rPr>
              <w:t xml:space="preserve"> avotu netiek ņemts vērā, jo ņemot vērā, ka</w:t>
            </w:r>
            <w:r w:rsidRPr="5CB90C96">
              <w:rPr>
                <w:b/>
                <w:bCs/>
                <w:szCs w:val="28"/>
              </w:rPr>
              <w:t xml:space="preserve"> </w:t>
            </w:r>
            <w:r w:rsidRPr="5CB90C96">
              <w:rPr>
                <w:szCs w:val="28"/>
              </w:rPr>
              <w:t xml:space="preserve">MK noteikumu projektā iekļautajās noteiktajās robežās (enerģijas logs 15–20 %, skaitīšanas ātrums 10000–30000 </w:t>
            </w:r>
            <w:proofErr w:type="spellStart"/>
            <w:r w:rsidRPr="5CB90C96">
              <w:rPr>
                <w:szCs w:val="28"/>
              </w:rPr>
              <w:t>imp</w:t>
            </w:r>
            <w:proofErr w:type="spellEnd"/>
            <w:r w:rsidRPr="5CB90C96">
              <w:rPr>
                <w:szCs w:val="28"/>
              </w:rPr>
              <w:t xml:space="preserve">./s, attēla matrica vismaz 256 x 256 pikseļi) </w:t>
            </w:r>
            <w:r w:rsidRPr="5CB90C96">
              <w:rPr>
                <w:b/>
                <w:bCs/>
                <w:szCs w:val="28"/>
              </w:rPr>
              <w:t>iekļaujas gan kobalta Co</w:t>
            </w:r>
            <w:r w:rsidRPr="5CB90C96">
              <w:rPr>
                <w:b/>
                <w:bCs/>
                <w:szCs w:val="28"/>
                <w:vertAlign w:val="superscript"/>
              </w:rPr>
              <w:t>57</w:t>
            </w:r>
            <w:r w:rsidRPr="5CB90C96">
              <w:rPr>
                <w:b/>
                <w:bCs/>
                <w:szCs w:val="28"/>
              </w:rPr>
              <w:t xml:space="preserve"> </w:t>
            </w:r>
            <w:proofErr w:type="spellStart"/>
            <w:r w:rsidRPr="5CB90C96">
              <w:rPr>
                <w:b/>
                <w:bCs/>
                <w:szCs w:val="28"/>
              </w:rPr>
              <w:t>lapveida</w:t>
            </w:r>
            <w:proofErr w:type="spellEnd"/>
            <w:r w:rsidRPr="5CB90C96">
              <w:rPr>
                <w:b/>
                <w:bCs/>
                <w:szCs w:val="28"/>
              </w:rPr>
              <w:t xml:space="preserve"> avoti, gan arī ar </w:t>
            </w:r>
            <w:proofErr w:type="spellStart"/>
            <w:r w:rsidRPr="5CB90C96">
              <w:rPr>
                <w:b/>
                <w:bCs/>
                <w:szCs w:val="28"/>
              </w:rPr>
              <w:t>tehnēcija</w:t>
            </w:r>
            <w:proofErr w:type="spellEnd"/>
            <w:r w:rsidRPr="5CB90C96">
              <w:rPr>
                <w:b/>
                <w:bCs/>
                <w:szCs w:val="28"/>
              </w:rPr>
              <w:t xml:space="preserve"> Tc</w:t>
            </w:r>
            <w:r w:rsidRPr="5CB90C96">
              <w:rPr>
                <w:b/>
                <w:bCs/>
                <w:szCs w:val="28"/>
                <w:vertAlign w:val="superscript"/>
              </w:rPr>
              <w:t xml:space="preserve">99m </w:t>
            </w:r>
            <w:r w:rsidRPr="5CB90C96">
              <w:rPr>
                <w:b/>
                <w:bCs/>
                <w:szCs w:val="28"/>
              </w:rPr>
              <w:t xml:space="preserve">pildīti </w:t>
            </w:r>
            <w:proofErr w:type="spellStart"/>
            <w:r w:rsidRPr="5CB90C96">
              <w:rPr>
                <w:b/>
                <w:bCs/>
                <w:szCs w:val="28"/>
              </w:rPr>
              <w:t>lapveida</w:t>
            </w:r>
            <w:proofErr w:type="spellEnd"/>
            <w:r w:rsidRPr="5CB90C96">
              <w:rPr>
                <w:b/>
                <w:bCs/>
                <w:szCs w:val="28"/>
              </w:rPr>
              <w:t xml:space="preserve"> avoti, tad nav pamata izslēgt kādu no šiem avotiem.</w:t>
            </w:r>
            <w:r w:rsidRPr="5CB90C96">
              <w:rPr>
                <w:szCs w:val="28"/>
              </w:rPr>
              <w:t xml:space="preserve"> Papildus jāatzīmē ka gan Tehniskajā literatūrā apskatītas abas mērīšanas metodes, tai skaitā National </w:t>
            </w:r>
            <w:proofErr w:type="spellStart"/>
            <w:r w:rsidRPr="5CB90C96">
              <w:rPr>
                <w:szCs w:val="28"/>
              </w:rPr>
              <w:t>Electrical</w:t>
            </w:r>
            <w:proofErr w:type="spellEnd"/>
            <w:r w:rsidRPr="5CB90C96">
              <w:rPr>
                <w:szCs w:val="28"/>
              </w:rPr>
              <w:t xml:space="preserve"> </w:t>
            </w:r>
            <w:proofErr w:type="spellStart"/>
            <w:r w:rsidRPr="5CB90C96">
              <w:rPr>
                <w:szCs w:val="28"/>
              </w:rPr>
              <w:t>Manufacturers</w:t>
            </w:r>
            <w:proofErr w:type="spellEnd"/>
            <w:r w:rsidRPr="5CB90C96">
              <w:rPr>
                <w:szCs w:val="28"/>
              </w:rPr>
              <w:t xml:space="preserve"> Association (NEMA) – Nacionālā elektrotehnikas ražotāju asociācija arī paredz abu avotu izmantošanu uz ko atsaucas arī E</w:t>
            </w:r>
            <w:proofErr w:type="spellStart"/>
            <w:r w:rsidRPr="5CB90C96">
              <w:rPr>
                <w:color w:val="000000" w:themeColor="text1"/>
                <w:szCs w:val="28"/>
                <w:lang w:val="en-US"/>
              </w:rPr>
              <w:t>iropas</w:t>
            </w:r>
            <w:proofErr w:type="spellEnd"/>
            <w:r w:rsidRPr="5CB90C96">
              <w:rPr>
                <w:color w:val="000000" w:themeColor="text1"/>
                <w:szCs w:val="28"/>
                <w:lang w:val="en-US"/>
              </w:rPr>
              <w:t xml:space="preserve"> </w:t>
            </w:r>
            <w:proofErr w:type="spellStart"/>
            <w:r w:rsidRPr="5CB90C96">
              <w:rPr>
                <w:color w:val="000000" w:themeColor="text1"/>
                <w:szCs w:val="28"/>
                <w:lang w:val="en-US"/>
              </w:rPr>
              <w:t>Komisijas</w:t>
            </w:r>
            <w:proofErr w:type="spellEnd"/>
            <w:r w:rsidRPr="5CB90C96">
              <w:rPr>
                <w:color w:val="000000" w:themeColor="text1"/>
                <w:szCs w:val="28"/>
                <w:lang w:val="en-US"/>
              </w:rPr>
              <w:t xml:space="preserve"> </w:t>
            </w:r>
            <w:proofErr w:type="spellStart"/>
            <w:r w:rsidRPr="5CB90C96">
              <w:rPr>
                <w:color w:val="000000" w:themeColor="text1"/>
                <w:szCs w:val="28"/>
                <w:lang w:val="en-US"/>
              </w:rPr>
              <w:t>publikācija</w:t>
            </w:r>
            <w:proofErr w:type="spellEnd"/>
            <w:r w:rsidRPr="5CB90C96">
              <w:rPr>
                <w:color w:val="000000" w:themeColor="text1"/>
                <w:szCs w:val="28"/>
                <w:lang w:val="en-US"/>
              </w:rPr>
              <w:t xml:space="preserve"> RP nr. 162.</w:t>
            </w:r>
          </w:p>
          <w:p w14:paraId="36766C1A" w14:textId="3781ACFD" w:rsidR="00FA6D3D" w:rsidRDefault="0062699E" w:rsidP="0062699E">
            <w:pPr>
              <w:jc w:val="left"/>
            </w:pPr>
            <w:r w:rsidRPr="5CB90C96">
              <w:rPr>
                <w:szCs w:val="28"/>
              </w:rPr>
              <w:t xml:space="preserve"> Attiecīgi gamma kameras pārbaudes veicējs ir tiesīgs izvēlēties metodi. Ja tiek izvēlēta metode, kurā lieto ar Tc</w:t>
            </w:r>
            <w:r w:rsidRPr="5CB90C96">
              <w:rPr>
                <w:szCs w:val="28"/>
                <w:vertAlign w:val="superscript"/>
              </w:rPr>
              <w:t xml:space="preserve">99m </w:t>
            </w:r>
            <w:r w:rsidRPr="5CB90C96">
              <w:rPr>
                <w:szCs w:val="28"/>
              </w:rPr>
              <w:t xml:space="preserve">pildītu </w:t>
            </w:r>
            <w:proofErr w:type="spellStart"/>
            <w:r w:rsidRPr="5CB90C96">
              <w:rPr>
                <w:szCs w:val="28"/>
              </w:rPr>
              <w:lastRenderedPageBreak/>
              <w:t>lapveida</w:t>
            </w:r>
            <w:proofErr w:type="spellEnd"/>
            <w:r w:rsidRPr="5CB90C96">
              <w:rPr>
                <w:szCs w:val="28"/>
              </w:rPr>
              <w:t xml:space="preserve"> avotu, jārēķinās, ka nepieciešams ievērot arī avota sagatavošanas metodiku un radiācijas drošības prasības.</w:t>
            </w:r>
          </w:p>
        </w:tc>
      </w:tr>
    </w:tbl>
    <w:p w14:paraId="2FBFA265" w14:textId="77777777" w:rsidR="00FA6D3D" w:rsidRDefault="00FA6D3D"/>
    <w:tbl>
      <w:tblPr>
        <w:tblStyle w:val="a"/>
        <w:tblW w:w="14567" w:type="dxa"/>
        <w:tblLayout w:type="fixed"/>
        <w:tblLook w:val="0600" w:firstRow="0" w:lastRow="0" w:firstColumn="0" w:lastColumn="0" w:noHBand="1" w:noVBand="1"/>
      </w:tblPr>
      <w:tblGrid>
        <w:gridCol w:w="4855"/>
        <w:gridCol w:w="4856"/>
        <w:gridCol w:w="4856"/>
      </w:tblGrid>
      <w:tr w:rsidR="00FA6D3D" w14:paraId="5070C14F" w14:textId="77777777">
        <w:tc>
          <w:tcPr>
            <w:tcW w:w="4855" w:type="dxa"/>
            <w:shd w:val="clear" w:color="auto" w:fill="FFFFFF"/>
            <w:noWrap/>
            <w:tcMar>
              <w:top w:w="75" w:type="dxa"/>
              <w:left w:w="75" w:type="dxa"/>
              <w:bottom w:w="75" w:type="dxa"/>
              <w:right w:w="75" w:type="dxa"/>
            </w:tcMar>
            <w:vAlign w:val="center"/>
          </w:tcPr>
          <w:p w14:paraId="65C5BACE" w14:textId="77777777" w:rsidR="00FA6D3D" w:rsidRDefault="00F27F72">
            <w:pPr>
              <w:jc w:val="left"/>
            </w:pPr>
            <w:r>
              <w:t>Datums**</w:t>
            </w:r>
          </w:p>
        </w:tc>
        <w:tc>
          <w:tcPr>
            <w:tcW w:w="4856" w:type="dxa"/>
            <w:shd w:val="clear" w:color="auto" w:fill="FFFFFF"/>
            <w:noWrap/>
            <w:tcMar>
              <w:top w:w="75" w:type="dxa"/>
              <w:left w:w="75" w:type="dxa"/>
              <w:bottom w:w="75" w:type="dxa"/>
              <w:right w:w="75" w:type="dxa"/>
            </w:tcMar>
            <w:vAlign w:val="center"/>
          </w:tcPr>
          <w:p w14:paraId="6D9C60ED" w14:textId="77777777" w:rsidR="00FA6D3D" w:rsidRDefault="00FA6D3D">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233F5A1D" w14:textId="77777777" w:rsidR="00FA6D3D" w:rsidRDefault="00FA6D3D"/>
        </w:tc>
      </w:tr>
      <w:tr w:rsidR="00FA6D3D" w14:paraId="5657A862" w14:textId="77777777">
        <w:tc>
          <w:tcPr>
            <w:tcW w:w="4855" w:type="dxa"/>
            <w:shd w:val="clear" w:color="auto" w:fill="FFFFFF"/>
            <w:noWrap/>
            <w:tcMar>
              <w:top w:w="75" w:type="dxa"/>
              <w:left w:w="75" w:type="dxa"/>
              <w:bottom w:w="75" w:type="dxa"/>
              <w:right w:w="75" w:type="dxa"/>
            </w:tcMar>
            <w:vAlign w:val="center"/>
          </w:tcPr>
          <w:p w14:paraId="10B4C513" w14:textId="77777777" w:rsidR="00FA6D3D" w:rsidRDefault="00FA6D3D"/>
        </w:tc>
        <w:tc>
          <w:tcPr>
            <w:tcW w:w="4856" w:type="dxa"/>
            <w:shd w:val="clear" w:color="auto" w:fill="FFFFFF"/>
            <w:noWrap/>
            <w:tcMar>
              <w:top w:w="75" w:type="dxa"/>
              <w:left w:w="75" w:type="dxa"/>
              <w:bottom w:w="75" w:type="dxa"/>
              <w:right w:w="75" w:type="dxa"/>
            </w:tcMar>
            <w:vAlign w:val="center"/>
          </w:tcPr>
          <w:p w14:paraId="01F9276C" w14:textId="77777777" w:rsidR="00FA6D3D" w:rsidRDefault="00F27F72">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4E6A1294" w14:textId="77777777" w:rsidR="00FA6D3D" w:rsidRDefault="00FA6D3D"/>
        </w:tc>
      </w:tr>
      <w:tr w:rsidR="00FA6D3D" w14:paraId="35CB79AA" w14:textId="77777777">
        <w:tc>
          <w:tcPr>
            <w:tcW w:w="4855" w:type="dxa"/>
            <w:shd w:val="clear" w:color="auto" w:fill="FFFFFF"/>
            <w:noWrap/>
            <w:tcMar>
              <w:top w:w="75" w:type="dxa"/>
              <w:left w:w="75" w:type="dxa"/>
              <w:bottom w:w="75" w:type="dxa"/>
              <w:right w:w="75" w:type="dxa"/>
            </w:tcMar>
            <w:vAlign w:val="center"/>
          </w:tcPr>
          <w:p w14:paraId="7BE3A8AA" w14:textId="77777777" w:rsidR="00FA6D3D" w:rsidRDefault="00F27F72">
            <w:pPr>
              <w:jc w:val="left"/>
            </w:pPr>
            <w:r>
              <w:t>Atbildīgā persona</w:t>
            </w:r>
          </w:p>
        </w:tc>
        <w:tc>
          <w:tcPr>
            <w:tcW w:w="4856" w:type="dxa"/>
            <w:shd w:val="clear" w:color="auto" w:fill="FFFFFF"/>
            <w:noWrap/>
            <w:tcMar>
              <w:top w:w="75" w:type="dxa"/>
              <w:left w:w="75" w:type="dxa"/>
              <w:bottom w:w="75" w:type="dxa"/>
              <w:right w:w="75" w:type="dxa"/>
            </w:tcMar>
            <w:vAlign w:val="center"/>
          </w:tcPr>
          <w:p w14:paraId="67CA85A1" w14:textId="77777777" w:rsidR="00FA6D3D" w:rsidRDefault="00FA6D3D">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5F7565B3" w14:textId="77777777" w:rsidR="00FA6D3D" w:rsidRDefault="00FA6D3D"/>
        </w:tc>
      </w:tr>
      <w:tr w:rsidR="00FA6D3D" w14:paraId="73F860D6" w14:textId="77777777">
        <w:tc>
          <w:tcPr>
            <w:tcW w:w="4855" w:type="dxa"/>
            <w:shd w:val="clear" w:color="auto" w:fill="FFFFFF"/>
            <w:noWrap/>
            <w:tcMar>
              <w:top w:w="75" w:type="dxa"/>
              <w:left w:w="75" w:type="dxa"/>
              <w:bottom w:w="75" w:type="dxa"/>
              <w:right w:w="75" w:type="dxa"/>
            </w:tcMar>
            <w:vAlign w:val="center"/>
          </w:tcPr>
          <w:p w14:paraId="5A074F57" w14:textId="77777777" w:rsidR="00FA6D3D" w:rsidRDefault="00FA6D3D"/>
        </w:tc>
        <w:tc>
          <w:tcPr>
            <w:tcW w:w="4856" w:type="dxa"/>
            <w:shd w:val="clear" w:color="auto" w:fill="FFFFFF"/>
            <w:noWrap/>
            <w:tcMar>
              <w:top w:w="75" w:type="dxa"/>
              <w:left w:w="75" w:type="dxa"/>
              <w:bottom w:w="75" w:type="dxa"/>
              <w:right w:w="75" w:type="dxa"/>
            </w:tcMar>
            <w:vAlign w:val="center"/>
          </w:tcPr>
          <w:p w14:paraId="657B9B9D" w14:textId="77777777" w:rsidR="00FA6D3D" w:rsidRDefault="00F27F72">
            <w:pPr>
              <w:jc w:val="center"/>
            </w:pPr>
            <w:r>
              <w:t>(vārds, uzvārds, paraksts**)</w:t>
            </w:r>
          </w:p>
        </w:tc>
        <w:tc>
          <w:tcPr>
            <w:tcW w:w="4856" w:type="dxa"/>
            <w:shd w:val="clear" w:color="auto" w:fill="FFFFFF"/>
            <w:noWrap/>
            <w:tcMar>
              <w:top w:w="75" w:type="dxa"/>
              <w:left w:w="75" w:type="dxa"/>
              <w:bottom w:w="75" w:type="dxa"/>
              <w:right w:w="75" w:type="dxa"/>
            </w:tcMar>
            <w:vAlign w:val="center"/>
          </w:tcPr>
          <w:p w14:paraId="520DBC29" w14:textId="77777777" w:rsidR="00FA6D3D" w:rsidRDefault="00FA6D3D"/>
        </w:tc>
      </w:tr>
    </w:tbl>
    <w:p w14:paraId="1AA7D9D2" w14:textId="77777777" w:rsidR="00FA6D3D" w:rsidRDefault="00FA6D3D"/>
    <w:p w14:paraId="345C0C4E" w14:textId="77777777" w:rsidR="00FA6D3D" w:rsidRDefault="00F27F72">
      <w:r>
        <w:t>Piezīmes.</w:t>
      </w:r>
    </w:p>
    <w:p w14:paraId="4A50DCF5" w14:textId="77777777" w:rsidR="00FA6D3D" w:rsidRDefault="00F27F72">
      <w:r>
        <w:t>* Iesniedzējs (fiziskai personai – vārds, uzvārds, juridiskai personai – nosaukums) var tikt publiskots, ja viņš tam ir piekritis. Ja attiecināms, iesniedzējs norāda interešu pārstāvja reģistrācijas numuru.</w:t>
      </w:r>
    </w:p>
    <w:p w14:paraId="1B398DEE" w14:textId="77777777" w:rsidR="00FA6D3D" w:rsidRDefault="00F27F72">
      <w:r>
        <w:t>** Dokumenta rekvizītus "datums" un "paraksts" neaizpilda, ja elektroniskais dokuments ir sagatavots atbilstoši normatīvajiem aktiem par elektronisko dokumentu noformēšanu.</w:t>
      </w:r>
    </w:p>
    <w:sectPr w:rsidR="00FA6D3D">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2DC8F" w14:textId="77777777" w:rsidR="00F27F72" w:rsidRDefault="00F27F72">
      <w:r>
        <w:separator/>
      </w:r>
    </w:p>
  </w:endnote>
  <w:endnote w:type="continuationSeparator" w:id="0">
    <w:p w14:paraId="5060120B" w14:textId="77777777" w:rsidR="00F27F72" w:rsidRDefault="00F27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F2EA0" w14:textId="77777777" w:rsidR="00FA6D3D" w:rsidRDefault="00F27F72">
    <w:pPr>
      <w:jc w:val="right"/>
    </w:pPr>
    <w:r>
      <w:rPr>
        <w:sz w:val="24"/>
        <w:szCs w:val="24"/>
      </w:rPr>
      <w:fldChar w:fldCharType="begin"/>
    </w:r>
    <w:r>
      <w:rPr>
        <w:sz w:val="24"/>
        <w:szCs w:val="24"/>
      </w:rPr>
      <w:instrText>PAGE</w:instrText>
    </w:r>
    <w:r w:rsidR="00762DD6">
      <w:rPr>
        <w:sz w:val="24"/>
        <w:szCs w:val="24"/>
      </w:rPr>
      <w:fldChar w:fldCharType="separate"/>
    </w:r>
    <w:r w:rsidR="00762DD6">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3702" w14:textId="77777777" w:rsidR="00F27F72" w:rsidRDefault="00F27F72">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1598A" w14:textId="77777777" w:rsidR="00F27F72" w:rsidRDefault="00F27F72">
      <w:r>
        <w:separator/>
      </w:r>
    </w:p>
  </w:footnote>
  <w:footnote w:type="continuationSeparator" w:id="0">
    <w:p w14:paraId="29BDF32D" w14:textId="77777777" w:rsidR="00F27F72" w:rsidRDefault="00F27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1D09" w14:textId="77777777" w:rsidR="00FA6D3D" w:rsidRDefault="00F27F72">
    <w:pPr>
      <w:pStyle w:val="Header"/>
      <w:contextualSpacing w:val="0"/>
    </w:pPr>
    <w:r>
      <w:t>Viedokļu pārskats 22-TA-2871</w:t>
    </w:r>
    <w:r>
      <w:br/>
    </w:r>
    <w:r>
      <w:t>Izdrukāts 04.06.2025. 15.52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637E3" w14:textId="77777777" w:rsidR="00FA6D3D" w:rsidRDefault="00F27F72">
    <w:pPr>
      <w:pStyle w:val="Header"/>
      <w:contextualSpacing w:val="0"/>
    </w:pPr>
    <w:r>
      <w:t>Viedokļu pārskats 22-TA-2871</w:t>
    </w:r>
    <w:r>
      <w:br/>
    </w:r>
    <w:r>
      <w:t>Izdrukāts 04.06.2025. 15.52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D3D"/>
    <w:rsid w:val="0062699E"/>
    <w:rsid w:val="00762DD6"/>
    <w:rsid w:val="00B61124"/>
    <w:rsid w:val="00BF73BF"/>
    <w:rsid w:val="00F27F72"/>
    <w:rsid w:val="00FA6D3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B0D17"/>
  <w15:docId w15:val="{773748F2-3F80-4B0A-852E-7759B51BB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62699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ikumi.lv/ta/id/324355-noteikumi-par-radiacijas-drosibas-ekspertiem-un-medicinas-fizikas-ekspertie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320612-darbibu-ar-jonizejosa-starojuma-avotiem-pazinosanas-registresanas-un-licencesanas-noteikumi"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17284</Words>
  <Characters>9852</Characters>
  <Application>Microsoft Office Word</Application>
  <DocSecurity>0</DocSecurity>
  <Lines>82</Lines>
  <Paragraphs>54</Paragraphs>
  <ScaleCrop>false</ScaleCrop>
  <HeadingPairs>
    <vt:vector size="2" baseType="variant">
      <vt:variant>
        <vt:lpstr>Title</vt:lpstr>
      </vt:variant>
      <vt:variant>
        <vt:i4>1</vt:i4>
      </vt:variant>
    </vt:vector>
  </HeadingPairs>
  <TitlesOfParts>
    <vt:vector size="1" baseType="lpstr">
      <vt:lpstr>viedoklu_parskats_22-TA-2871.docx</vt:lpstr>
    </vt:vector>
  </TitlesOfParts>
  <Company/>
  <LinksUpToDate>false</LinksUpToDate>
  <CharactersWithSpaces>27082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viedoklu_parskats_22-TA-2871.docx</dc:title>
  <dc:creator>Jānis Linītis</dc:creator>
  <cp:lastModifiedBy>Jānis Linītis</cp:lastModifiedBy>
  <cp:revision>2</cp:revision>
  <dcterms:created xsi:type="dcterms:W3CDTF">2025-06-04T13:23:00Z</dcterms:created>
  <dcterms:modified xsi:type="dcterms:W3CDTF">2025-06-04T13:23:00Z</dcterms:modified>
</cp:coreProperties>
</file>