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F226D10" w14:textId="77777777" w:rsidR="001F34A3" w:rsidRDefault="00590A8D" w:rsidP="00D65622">
      <w:pPr>
        <w:jc w:val="center"/>
        <w:rPr>
          <w:b/>
        </w:rPr>
      </w:pPr>
      <w:r>
        <w:rPr>
          <w:b/>
        </w:rPr>
        <w:t>“Publiskās apspriešanas laikā 09.09.2025. - 23.09.2025. saņemto viedokļu, priekšlikumu un iebildumu apkopojums par Grozījumi Administratīvā procesa likumā”</w:t>
      </w:r>
    </w:p>
    <w:tbl>
      <w:tblPr>
        <w:tblStyle w:val="a"/>
        <w:tblW w:w="14567"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1F34A3" w14:paraId="39DEBBE7" w14:textId="77777777">
        <w:tc>
          <w:tcPr>
            <w:tcW w:w="750" w:type="dxa"/>
            <w:shd w:val="clear" w:color="auto" w:fill="FFFFFF"/>
            <w:noWrap/>
            <w:tcMar>
              <w:top w:w="75" w:type="dxa"/>
              <w:left w:w="75" w:type="dxa"/>
              <w:bottom w:w="75" w:type="dxa"/>
              <w:right w:w="75" w:type="dxa"/>
            </w:tcMar>
            <w:vAlign w:val="center"/>
          </w:tcPr>
          <w:p w14:paraId="16BEFB59" w14:textId="77777777" w:rsidR="001F34A3" w:rsidRDefault="00590A8D" w:rsidP="00D65622">
            <w:pPr>
              <w:spacing w:line="240" w:lineRule="auto"/>
              <w:jc w:val="center"/>
            </w:pPr>
            <w:proofErr w:type="spellStart"/>
            <w:r>
              <w:rPr>
                <w:b/>
              </w:rPr>
              <w:t>Nr.p.k</w:t>
            </w:r>
            <w:proofErr w:type="spellEnd"/>
            <w:r>
              <w:rPr>
                <w:b/>
              </w:rPr>
              <w:t>.</w:t>
            </w:r>
          </w:p>
        </w:tc>
        <w:tc>
          <w:tcPr>
            <w:tcW w:w="4055" w:type="dxa"/>
            <w:shd w:val="clear" w:color="auto" w:fill="FFFFFF"/>
            <w:noWrap/>
            <w:tcMar>
              <w:top w:w="75" w:type="dxa"/>
              <w:left w:w="75" w:type="dxa"/>
              <w:bottom w:w="75" w:type="dxa"/>
              <w:right w:w="75" w:type="dxa"/>
            </w:tcMar>
            <w:vAlign w:val="center"/>
          </w:tcPr>
          <w:p w14:paraId="37BD349D" w14:textId="77777777" w:rsidR="001F34A3" w:rsidRDefault="00590A8D" w:rsidP="00D65622">
            <w:pPr>
              <w:spacing w:line="240" w:lineRule="auto"/>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7098361C" w14:textId="77777777" w:rsidR="001F34A3" w:rsidRDefault="00590A8D" w:rsidP="00D65622">
            <w:pPr>
              <w:spacing w:line="240" w:lineRule="auto"/>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1A60D087" w14:textId="77777777" w:rsidR="001F34A3" w:rsidRDefault="00590A8D" w:rsidP="00D65622">
            <w:pPr>
              <w:spacing w:line="240" w:lineRule="auto"/>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0F2C845E" w14:textId="77777777" w:rsidR="001F34A3" w:rsidRDefault="00590A8D" w:rsidP="00D65622">
            <w:pPr>
              <w:spacing w:line="240" w:lineRule="auto"/>
              <w:jc w:val="center"/>
            </w:pPr>
            <w:r>
              <w:rPr>
                <w:b/>
              </w:rPr>
              <w:t>Skaidrojums, kādā veidā viedoklis / priekšlikums / iebildums ir ņemts vērā vai ņemts vērā daļēji, vai pamatojums, ja viedoklis / priekšlikums / iebildums nav ņemts vērā</w:t>
            </w:r>
          </w:p>
        </w:tc>
      </w:tr>
      <w:tr w:rsidR="001F34A3" w14:paraId="41E84951" w14:textId="77777777">
        <w:tc>
          <w:tcPr>
            <w:tcW w:w="750" w:type="dxa"/>
            <w:shd w:val="clear" w:color="auto" w:fill="FFFFFF"/>
            <w:noWrap/>
            <w:tcMar>
              <w:top w:w="75" w:type="dxa"/>
              <w:left w:w="75" w:type="dxa"/>
              <w:bottom w:w="75" w:type="dxa"/>
              <w:right w:w="75" w:type="dxa"/>
            </w:tcMar>
            <w:vAlign w:val="center"/>
          </w:tcPr>
          <w:p w14:paraId="30DB57C6" w14:textId="77777777" w:rsidR="001F34A3" w:rsidRDefault="00590A8D" w:rsidP="00D65622">
            <w:pPr>
              <w:spacing w:line="240" w:lineRule="auto"/>
              <w:jc w:val="center"/>
            </w:pPr>
            <w:r>
              <w:t>1.</w:t>
            </w:r>
          </w:p>
        </w:tc>
        <w:tc>
          <w:tcPr>
            <w:tcW w:w="4055" w:type="dxa"/>
            <w:shd w:val="clear" w:color="auto" w:fill="FFFFFF"/>
            <w:noWrap/>
            <w:tcMar>
              <w:top w:w="75" w:type="dxa"/>
              <w:left w:w="75" w:type="dxa"/>
              <w:bottom w:w="75" w:type="dxa"/>
              <w:right w:w="75" w:type="dxa"/>
            </w:tcMar>
            <w:vAlign w:val="center"/>
          </w:tcPr>
          <w:p w14:paraId="69C30C03" w14:textId="77777777" w:rsidR="001F34A3" w:rsidRDefault="00590A8D" w:rsidP="00D65622">
            <w:pPr>
              <w:spacing w:line="240" w:lineRule="auto"/>
              <w:jc w:val="left"/>
            </w:pPr>
            <w:r>
              <w:t>"Latvijas bezdarbnieku un darba meklētāju interešu aizstāvības biedrība", Raimonds Lejnieks-Puķe</w:t>
            </w:r>
          </w:p>
        </w:tc>
        <w:tc>
          <w:tcPr>
            <w:tcW w:w="4056" w:type="dxa"/>
            <w:shd w:val="clear" w:color="auto" w:fill="FFFFFF"/>
            <w:noWrap/>
            <w:tcMar>
              <w:top w:w="75" w:type="dxa"/>
              <w:left w:w="75" w:type="dxa"/>
              <w:bottom w:w="75" w:type="dxa"/>
              <w:right w:w="75" w:type="dxa"/>
            </w:tcMar>
            <w:vAlign w:val="center"/>
          </w:tcPr>
          <w:p w14:paraId="7AB0BB0F" w14:textId="77777777" w:rsidR="001F34A3" w:rsidRDefault="00590A8D" w:rsidP="00D65622">
            <w:pPr>
              <w:spacing w:line="240" w:lineRule="auto"/>
              <w:jc w:val="left"/>
            </w:pPr>
            <w:proofErr w:type="spellStart"/>
            <w:r>
              <w:rPr>
                <w:i/>
              </w:rPr>
              <w:t>APL</w:t>
            </w:r>
            <w:proofErr w:type="spellEnd"/>
            <w:r>
              <w:rPr>
                <w:i/>
              </w:rPr>
              <w:t xml:space="preserve"> 15. panta vienpadsmitā daļa nosaka, ka, ja iestādei rodas šaubas par piemērojamās normas atbilstību augstāka juridiskā spēka normai, tā tomēr normu piemēro, bet rakstveidā informē augstāku iestādi un Tieslietu ministriju. iestādes nekad nav ziņojušas Tieslietu ministrijai saskaņā ar </w:t>
            </w:r>
            <w:proofErr w:type="spellStart"/>
            <w:r>
              <w:rPr>
                <w:i/>
              </w:rPr>
              <w:t>APL</w:t>
            </w:r>
            <w:proofErr w:type="spellEnd"/>
            <w:r>
              <w:rPr>
                <w:i/>
              </w:rPr>
              <w:t xml:space="preserve"> 15. panta vienpadsmito daļu. Faktiski nedz valsts nedz pašvaldību iestādes pieņemot administratīvo aktu nav ieinteresētas vērsties Tieslietu ministrijā vai citā augstākā iestādē, ja arī tai rodas šaubas par normatīvā akta atbilstību </w:t>
            </w:r>
            <w:r>
              <w:rPr>
                <w:i/>
              </w:rPr>
              <w:lastRenderedPageBreak/>
              <w:t xml:space="preserve">augstāka juridiskā spēka normatīvajam aktam. Šāda situācija ir nepieņemama pret administratīvā akta adresātu - jeb parastu iedzīvotāju, jo ja arī administratīvā akta/lēmuma </w:t>
            </w:r>
            <w:proofErr w:type="spellStart"/>
            <w:r>
              <w:rPr>
                <w:i/>
              </w:rPr>
              <w:t>adreātam</w:t>
            </w:r>
            <w:proofErr w:type="spellEnd"/>
            <w:r>
              <w:rPr>
                <w:i/>
              </w:rPr>
              <w:t xml:space="preserve"> rodas šaubas par viņam piemērotā tiesību akta atbilstību normatīvo aktu hierarhijā augstāka juridiskā spēka, tad vienīgā iespēja, kā sevi aizstāvēt ir vērsties administratīvajā tiesā, un Satversmes tiesā, kas ir ļoti laika un resursu ietilpīgi, kā arī prasa dziļas juridiskas zināšanas ( it īpaši vēršanās Satversmes tiesā ) Šādā situācijā iedzīvotājs ir neaizsargātākā stāvoklī attiecībā pret valsti. Ir jārada mehānisms, kā persona, ja tā pamana kāda normatīvā akta neatbilstību augstāka juridiskā spēka tiesību normai, varētu vērsties vai nu Tieslietu ministrijā, vai kādā tamlīdzīgā institūcijā, kas skrupulozi izvērtētu piemērojamo normatīvo aktu. Līdz ar to iesaku papildināt </w:t>
            </w:r>
            <w:proofErr w:type="spellStart"/>
            <w:r>
              <w:rPr>
                <w:i/>
              </w:rPr>
              <w:t>APL</w:t>
            </w:r>
            <w:proofErr w:type="spellEnd"/>
            <w:r>
              <w:rPr>
                <w:i/>
              </w:rPr>
              <w:t xml:space="preserve"> 15. panta </w:t>
            </w:r>
            <w:r>
              <w:rPr>
                <w:i/>
              </w:rPr>
              <w:lastRenderedPageBreak/>
              <w:t>vienpadsmito daļu:</w:t>
            </w:r>
            <w:r>
              <w:br/>
            </w:r>
            <w:r>
              <w:br/>
            </w:r>
            <w:r>
              <w:rPr>
                <w:b/>
              </w:rPr>
              <w:t>"</w:t>
            </w:r>
            <w:proofErr w:type="spellStart"/>
            <w:r>
              <w:rPr>
                <w:b/>
              </w:rPr>
              <w:t>APL</w:t>
            </w:r>
            <w:proofErr w:type="spellEnd"/>
            <w:r>
              <w:rPr>
                <w:b/>
              </w:rPr>
              <w:t xml:space="preserve"> 15. panta vienpadsmitā daļa izteicama šādā redakcijā un pants papildināms ar jaunām daļām:“(11) Ja iestādei, izskatot administratīvo lietu, rodas pamatotas šaubas par piemērojamās tiesību normas atbilstību augstāka juridiskā spēka tiesību normai, iestāde attiecīgo normu piemēro, vienlaikus nekavējoties rakstveidā informējot augstāku iestādi un Tieslietu ministriju, pievienojot īsu juridisku pamatojumu par šaubu raksturu.”“(11^1) Persona, kurai konkrētajā administratīvajā lietā tiek piemērota tiesību norma, par kuru rodas pamatotas šaubas par tās atbilstību augstāka juridiskā spēka tiesību normai, ir tiesīga Tieslietu ministrijā iesniegt motivētu paziņojumu par iespējamu neatbilstību. Tieslietu ministrija 30 dienu </w:t>
            </w:r>
            <w:r>
              <w:rPr>
                <w:b/>
              </w:rPr>
              <w:lastRenderedPageBreak/>
              <w:t xml:space="preserve">laikā no paziņojuma saņemšanas sniedz atzinumu par normas atbilstību vai ierosina attiecīgā normatīvā akta izdevējam veikt nepieciešamos pasākumus neatbilstības novēršanai. Atzinumam ir rekomendējošs raksturs, un iestādes un tiesas to ņem vērā, izskatot lietu.”“(11^2) Tieslietu ministrijai ir tiesības pieprasīt no iestādēm un normatīvā akta izdevēja informāciju un materiālus atzinuma sagatavošanai. Tieslietu ministrija savus atzinumus publisko savā tīmekļvietnē, nodrošinot personas datu un ierobežotas pieejamības informācijas aizsardzību.”“(11^3) Tiesai, izskatot konkrēto administratīvo lietu, ir tiesības pēc puses motivēta lūguma apturēt tiesvedību līdz Tieslietu ministrijas atzinuma saņemšanai, ja tas ir nepieciešams lietas taisnīgai un </w:t>
            </w:r>
            <w:r>
              <w:rPr>
                <w:b/>
              </w:rPr>
              <w:lastRenderedPageBreak/>
              <w:t>saprātīgai izspriešanai. Tiesas lēmums par tiesvedības apturēšanu nepārkāpj tiesas pienākumu nepiemērot normu, kas neatbilst augstāka juridiskā spēka tiesību normai</w:t>
            </w:r>
            <w:r>
              <w:t>.”</w:t>
            </w:r>
            <w:r>
              <w:br/>
            </w:r>
            <w:r>
              <w:br/>
            </w:r>
            <w:r>
              <w:rPr>
                <w:i/>
              </w:rPr>
              <w:t xml:space="preserve">Galvenais ieguvums šādam </w:t>
            </w:r>
            <w:proofErr w:type="spellStart"/>
            <w:r>
              <w:rPr>
                <w:i/>
              </w:rPr>
              <w:t>APL</w:t>
            </w:r>
            <w:proofErr w:type="spellEnd"/>
            <w:r>
              <w:rPr>
                <w:i/>
              </w:rPr>
              <w:t xml:space="preserve"> 15. panta vienpadsmitās daļas papildinājumam būtu, ka tiek piešķirtas procesa tiesības privātpersonai vērsties Tieslietu ministrijā ar motivētu paziņojumu. </w:t>
            </w:r>
          </w:p>
        </w:tc>
        <w:tc>
          <w:tcPr>
            <w:tcW w:w="1650" w:type="dxa"/>
            <w:shd w:val="clear" w:color="auto" w:fill="FFFFFF"/>
            <w:noWrap/>
            <w:tcMar>
              <w:top w:w="75" w:type="dxa"/>
              <w:left w:w="75" w:type="dxa"/>
              <w:bottom w:w="75" w:type="dxa"/>
              <w:right w:w="75" w:type="dxa"/>
            </w:tcMar>
            <w:vAlign w:val="center"/>
          </w:tcPr>
          <w:p w14:paraId="690524D5" w14:textId="298E69B9" w:rsidR="001F34A3" w:rsidRDefault="00646BAB" w:rsidP="00D65622">
            <w:pPr>
              <w:spacing w:line="240" w:lineRule="auto"/>
              <w:jc w:val="center"/>
            </w:pPr>
            <w:r>
              <w:lastRenderedPageBreak/>
              <w:t>Nav ņemts vērā.</w:t>
            </w:r>
          </w:p>
        </w:tc>
        <w:tc>
          <w:tcPr>
            <w:tcW w:w="4056" w:type="dxa"/>
            <w:shd w:val="clear" w:color="auto" w:fill="FFFFFF"/>
            <w:noWrap/>
            <w:tcMar>
              <w:top w:w="75" w:type="dxa"/>
              <w:left w:w="75" w:type="dxa"/>
              <w:bottom w:w="75" w:type="dxa"/>
              <w:right w:w="75" w:type="dxa"/>
            </w:tcMar>
            <w:vAlign w:val="center"/>
          </w:tcPr>
          <w:p w14:paraId="560FE2ED" w14:textId="77777777" w:rsidR="00F27BA3" w:rsidRDefault="00646BAB" w:rsidP="00D65622">
            <w:pPr>
              <w:pStyle w:val="Bezatstarpm"/>
              <w:spacing w:line="240" w:lineRule="auto"/>
            </w:pPr>
            <w:bookmarkStart w:id="0" w:name="_Hlk211248446"/>
            <w:r w:rsidRPr="00D01942">
              <w:t>Tieslietu ministrija pateicas par sniegto priekšlikumu grozījum</w:t>
            </w:r>
            <w:r w:rsidR="00404885">
              <w:t>iem</w:t>
            </w:r>
            <w:r w:rsidRPr="00D01942">
              <w:t xml:space="preserve"> Administratīvā procesa likuma 15. pantā</w:t>
            </w:r>
            <w:r w:rsidR="00F27BA3">
              <w:t>.</w:t>
            </w:r>
          </w:p>
          <w:p w14:paraId="2D165B99" w14:textId="69660585" w:rsidR="00D01942" w:rsidRPr="00D01942" w:rsidRDefault="00F27BA3" w:rsidP="00D65622">
            <w:pPr>
              <w:pStyle w:val="Bezatstarpm"/>
              <w:spacing w:line="240" w:lineRule="auto"/>
            </w:pPr>
            <w:r>
              <w:t>Tieslietu ministrija</w:t>
            </w:r>
            <w:r w:rsidR="00646BAB" w:rsidRPr="00D01942">
              <w:t xml:space="preserve"> informē, </w:t>
            </w:r>
            <w:bookmarkEnd w:id="0"/>
            <w:r w:rsidR="00D01942" w:rsidRPr="00D01942">
              <w:t xml:space="preserve">ka saskaņā ar Valsts pārvaldes iekārtas likuma 10. panta pirmo daļu valsts pārvalde ir pakļauta likumam un tiesībām, tā darbojas normatīvajos aktos noteiktās kompetences ietvaros. Valsts pārvalde savas pilnvaras var izmantot tikai atbilstoši pilnvarojuma jēgai un mērķim. Tieslietu ministrijas funkcijas, uzdevumus un tiesības noteic Ministru kabineta 2017. gada </w:t>
            </w:r>
            <w:r w:rsidR="00D01942" w:rsidRPr="00D01942">
              <w:lastRenderedPageBreak/>
              <w:t>16. augusta noteikumi Nr. 474 "Tieslietu ministrijas nolikums", kas nosaka Tieslietu ministrijas pienākumu izstrādāt, organizēt un koordinēt politiku noteiktās jomās</w:t>
            </w:r>
            <w:r w:rsidR="00206B5A">
              <w:t xml:space="preserve"> (piemēram, </w:t>
            </w:r>
            <w:r w:rsidR="00206B5A" w:rsidRPr="00206B5A">
              <w:t>civiltiesību, komerctiesību, krimināltiesību un reliģisko tiesību jom</w:t>
            </w:r>
            <w:r w:rsidR="00206B5A">
              <w:t>a, sodu izpilde, tiesu ekspertīze)</w:t>
            </w:r>
            <w:r w:rsidR="00D01942" w:rsidRPr="00D01942">
              <w:t>. Normatīvie akti nenoteic Tieslietu ministrijas tiesības dot</w:t>
            </w:r>
            <w:r w:rsidR="00206B5A">
              <w:t xml:space="preserve"> saistošus</w:t>
            </w:r>
            <w:r w:rsidR="00D01942" w:rsidRPr="00D01942">
              <w:t xml:space="preserve"> norādījumus tiešās valsts pārvaldes iestādēm, kas nav tās padotībā, pašvaldībām </w:t>
            </w:r>
            <w:proofErr w:type="spellStart"/>
            <w:r w:rsidR="00D01942" w:rsidRPr="00D01942">
              <w:t>v.tml</w:t>
            </w:r>
            <w:proofErr w:type="spellEnd"/>
            <w:r w:rsidR="00D01942" w:rsidRPr="00D01942">
              <w:t xml:space="preserve">. Katra ministrija ir atbildīga par tai noteikto politikas jomu. Līdz ar to regulējums par Tieslietu ministrijas informēšanu par </w:t>
            </w:r>
            <w:r>
              <w:t xml:space="preserve">jebkuras </w:t>
            </w:r>
            <w:r w:rsidR="00D01942" w:rsidRPr="00D01942">
              <w:t>tiesību normas</w:t>
            </w:r>
            <w:r w:rsidR="009C7A6D">
              <w:t xml:space="preserve"> iespējamu</w:t>
            </w:r>
            <w:r w:rsidR="00D01942" w:rsidRPr="00D01942">
              <w:t xml:space="preserve"> neatbilstību augstāka juridiskā spēka normatīvajam aktam</w:t>
            </w:r>
            <w:r>
              <w:t xml:space="preserve"> </w:t>
            </w:r>
            <w:r w:rsidR="009C7A6D">
              <w:t>nerada tālākas saistošas sekas kādam no tiesību subjektiem</w:t>
            </w:r>
            <w:r w:rsidR="00D01942" w:rsidRPr="00D01942">
              <w:t>.</w:t>
            </w:r>
          </w:p>
          <w:p w14:paraId="4770C6A9" w14:textId="7AE6E24D" w:rsidR="001F34A3" w:rsidRDefault="00F27BA3" w:rsidP="00D65622">
            <w:pPr>
              <w:pStyle w:val="Bezatstarpm"/>
              <w:spacing w:line="240" w:lineRule="auto"/>
            </w:pPr>
            <w:r>
              <w:t xml:space="preserve">Vienlaikus attiecībā uz privātpersonu tiesībām vērsties iestādē </w:t>
            </w:r>
            <w:r w:rsidR="00D01942" w:rsidRPr="00D01942">
              <w:t>Tieslietu ministrija informē, ka atbilstoši Iesniegumu likum</w:t>
            </w:r>
            <w:r w:rsidR="009C7A6D">
              <w:t xml:space="preserve">am </w:t>
            </w:r>
            <w:r w:rsidR="00D01942" w:rsidRPr="00D01942">
              <w:t xml:space="preserve">šā likuma mērķis ir </w:t>
            </w:r>
            <w:r w:rsidR="00D01942" w:rsidRPr="00D01942">
              <w:lastRenderedPageBreak/>
              <w:t xml:space="preserve">veicināt privātpersonas līdzdalību valsts pārvaldē. Iesniegumu  likums noteic kārtību, kādā privātpersona iesniedz un iestāde vai privātpersona, kas īsteno valsts pārvaldes uzdevumus (turpmāk – iestāde), izskata dokumentu, kurā ietverts </w:t>
            </w:r>
            <w:r w:rsidR="00D01942" w:rsidRPr="00F27BA3">
              <w:rPr>
                <w:u w:val="single"/>
              </w:rPr>
              <w:t>iestādes kompetencē</w:t>
            </w:r>
            <w:r w:rsidR="00D01942" w:rsidRPr="00D01942">
              <w:t xml:space="preserve"> esošs lūgums, sūdzība, priekšlikums vai jautājums (turpmāk – iesniegums), un atbild uz to. </w:t>
            </w:r>
            <w:r>
              <w:t>Tādējādi</w:t>
            </w:r>
            <w:r w:rsidR="00D01942" w:rsidRPr="00D01942">
              <w:t>, ja privātpersonai rodas šaubas par kādu konkrētas iestādes kompetencē esošu jautājumu, t</w:t>
            </w:r>
            <w:r w:rsidR="009C7A6D">
              <w:t>ostarp,</w:t>
            </w:r>
            <w:r w:rsidR="00D01942" w:rsidRPr="00D01942">
              <w:t xml:space="preserve"> par iespējamu normatīvā akta regulējuma neatbilstību augstāka juridiskā spēka normatīvajam aktam, tā var vērsties attiecīgajā kompetentajā iestādē, k</w:t>
            </w:r>
            <w:r w:rsidR="009C7A6D">
              <w:t>urai ir pienākums</w:t>
            </w:r>
            <w:r w:rsidR="00D01942" w:rsidRPr="00D01942">
              <w:t xml:space="preserve"> snieg</w:t>
            </w:r>
            <w:r w:rsidR="009C7A6D">
              <w:t>t</w:t>
            </w:r>
            <w:r w:rsidR="00D01942" w:rsidRPr="00D01942">
              <w:t xml:space="preserve"> atbildi pēc </w:t>
            </w:r>
            <w:r w:rsidR="00D01942" w:rsidRPr="00404885">
              <w:t>būtības</w:t>
            </w:r>
            <w:r w:rsidR="00D01942" w:rsidRPr="00D01942">
              <w:t>.</w:t>
            </w:r>
          </w:p>
          <w:p w14:paraId="747C566A" w14:textId="77777777" w:rsidR="00F27BA3" w:rsidRDefault="00457072" w:rsidP="00D65622">
            <w:pPr>
              <w:pStyle w:val="Bezatstarpm"/>
              <w:spacing w:line="240" w:lineRule="auto"/>
            </w:pPr>
            <w:r>
              <w:t xml:space="preserve">Tāpat </w:t>
            </w:r>
            <w:r w:rsidR="009C7A6D">
              <w:t xml:space="preserve">vēršam uzmanību, ka </w:t>
            </w:r>
            <w:r>
              <w:t xml:space="preserve">saskaņā ar </w:t>
            </w:r>
            <w:proofErr w:type="spellStart"/>
            <w:r>
              <w:t>Tiesībsarga</w:t>
            </w:r>
            <w:proofErr w:type="spellEnd"/>
            <w:r>
              <w:t xml:space="preserve"> likumu ikvienai </w:t>
            </w:r>
            <w:r w:rsidRPr="00457072">
              <w:t xml:space="preserve">privātpersonai ir tiesības vērsties </w:t>
            </w:r>
            <w:proofErr w:type="spellStart"/>
            <w:r w:rsidRPr="00457072">
              <w:t>Tiesībsarga</w:t>
            </w:r>
            <w:proofErr w:type="spellEnd"/>
            <w:r w:rsidRPr="00457072">
              <w:t xml:space="preserve"> birojā ar iesniegumu</w:t>
            </w:r>
            <w:r>
              <w:t xml:space="preserve">. </w:t>
            </w:r>
            <w:proofErr w:type="spellStart"/>
            <w:r>
              <w:t>Tiesībsarga</w:t>
            </w:r>
            <w:proofErr w:type="spellEnd"/>
            <w:r>
              <w:t xml:space="preserve"> kompetencē </w:t>
            </w:r>
            <w:proofErr w:type="spellStart"/>
            <w:r>
              <w:t>citastarp</w:t>
            </w:r>
            <w:proofErr w:type="spellEnd"/>
            <w:r>
              <w:t xml:space="preserve"> ietilpst</w:t>
            </w:r>
            <w:r w:rsidR="009C7A6D">
              <w:t xml:space="preserve"> </w:t>
            </w:r>
            <w:r w:rsidR="009C7A6D" w:rsidRPr="00457072">
              <w:t xml:space="preserve">atklāt trūkumus tiesību aktos un to </w:t>
            </w:r>
            <w:r w:rsidR="009C7A6D" w:rsidRPr="00457072">
              <w:lastRenderedPageBreak/>
              <w:t>piemērošanā, kā arī veicināt šo trūkumu novēršanu</w:t>
            </w:r>
            <w:r>
              <w:t xml:space="preserve"> </w:t>
            </w:r>
            <w:r w:rsidRPr="00457072">
              <w:t>jautājumos, kas saistīti ar cilvēktiesību un labas pārvaldības principa ievērošanu</w:t>
            </w:r>
            <w:r>
              <w:t xml:space="preserve">. </w:t>
            </w:r>
            <w:proofErr w:type="spellStart"/>
            <w:r w:rsidR="000728F9">
              <w:t>Tiesībsargs</w:t>
            </w:r>
            <w:proofErr w:type="spellEnd"/>
            <w:r w:rsidR="000728F9">
              <w:t xml:space="preserve"> p</w:t>
            </w:r>
            <w:r w:rsidR="000728F9" w:rsidRPr="000728F9">
              <w:t xml:space="preserve">ārbaudes lietu pabeidz ar lietā iesaistīto personu izlīgumu vai </w:t>
            </w:r>
            <w:proofErr w:type="spellStart"/>
            <w:r w:rsidR="000728F9" w:rsidRPr="000728F9">
              <w:t>tiesībsarga</w:t>
            </w:r>
            <w:proofErr w:type="spellEnd"/>
            <w:r w:rsidR="000728F9" w:rsidRPr="000728F9">
              <w:t xml:space="preserve"> atzinumu.</w:t>
            </w:r>
            <w:r w:rsidR="000728F9">
              <w:t xml:space="preserve"> </w:t>
            </w:r>
            <w:proofErr w:type="spellStart"/>
            <w:r w:rsidR="000728F9">
              <w:t>Ti</w:t>
            </w:r>
            <w:r w:rsidR="000728F9" w:rsidRPr="000728F9">
              <w:t>esībsarga</w:t>
            </w:r>
            <w:proofErr w:type="spellEnd"/>
            <w:r w:rsidR="000728F9" w:rsidRPr="000728F9">
              <w:t xml:space="preserve"> atzinumā var ietvert ieteikumu konstatētā pārkāpuma novēršanai, kā arī, ja tas nepieciešams, citus ieteikumus.</w:t>
            </w:r>
            <w:r w:rsidR="000728F9">
              <w:t xml:space="preserve"> </w:t>
            </w:r>
            <w:r w:rsidR="000728F9" w:rsidRPr="000728F9">
              <w:t>Atzinumam ir rekomendējošs raksturs.</w:t>
            </w:r>
          </w:p>
          <w:p w14:paraId="0562FF49" w14:textId="3720C388" w:rsidR="009C7A6D" w:rsidRDefault="009C7A6D" w:rsidP="00D65622">
            <w:pPr>
              <w:pStyle w:val="Bezatstarpm"/>
              <w:spacing w:line="240" w:lineRule="auto"/>
            </w:pPr>
            <w:r>
              <w:t>Tādējādi Tieslietu ministrijas ieskatā iestāžu līmenī nebūtu veidojams vēl viens paralēls mehānisms tiesību aktu atbilstības vērtēšanai.</w:t>
            </w:r>
          </w:p>
        </w:tc>
      </w:tr>
    </w:tbl>
    <w:p w14:paraId="0751924E" w14:textId="77777777" w:rsidR="001F34A3" w:rsidRDefault="001F34A3" w:rsidP="00D65622"/>
    <w:tbl>
      <w:tblPr>
        <w:tblStyle w:val="a"/>
        <w:tblW w:w="14567" w:type="dxa"/>
        <w:tblInd w:w="0" w:type="dxa"/>
        <w:tblLayout w:type="fixed"/>
        <w:tblLook w:val="0600" w:firstRow="0" w:lastRow="0" w:firstColumn="0" w:lastColumn="0" w:noHBand="1" w:noVBand="1"/>
      </w:tblPr>
      <w:tblGrid>
        <w:gridCol w:w="4855"/>
        <w:gridCol w:w="4856"/>
        <w:gridCol w:w="4856"/>
      </w:tblGrid>
      <w:tr w:rsidR="001F34A3" w14:paraId="3A3D0D54" w14:textId="77777777">
        <w:tc>
          <w:tcPr>
            <w:tcW w:w="4855" w:type="dxa"/>
            <w:shd w:val="clear" w:color="auto" w:fill="FFFFFF"/>
            <w:noWrap/>
            <w:tcMar>
              <w:top w:w="75" w:type="dxa"/>
              <w:left w:w="75" w:type="dxa"/>
              <w:bottom w:w="75" w:type="dxa"/>
              <w:right w:w="75" w:type="dxa"/>
            </w:tcMar>
            <w:vAlign w:val="center"/>
          </w:tcPr>
          <w:p w14:paraId="5F6660B3" w14:textId="77777777" w:rsidR="001F34A3" w:rsidRDefault="00590A8D" w:rsidP="00D65622">
            <w:pPr>
              <w:spacing w:line="240" w:lineRule="auto"/>
              <w:jc w:val="left"/>
            </w:pPr>
            <w:r>
              <w:t>Datums**</w:t>
            </w:r>
          </w:p>
        </w:tc>
        <w:tc>
          <w:tcPr>
            <w:tcW w:w="4856" w:type="dxa"/>
            <w:shd w:val="clear" w:color="auto" w:fill="FFFFFF"/>
            <w:noWrap/>
            <w:tcMar>
              <w:top w:w="75" w:type="dxa"/>
              <w:left w:w="75" w:type="dxa"/>
              <w:bottom w:w="75" w:type="dxa"/>
              <w:right w:w="75" w:type="dxa"/>
            </w:tcMar>
            <w:vAlign w:val="center"/>
          </w:tcPr>
          <w:p w14:paraId="75988CDD" w14:textId="77777777" w:rsidR="001F34A3" w:rsidRDefault="001F34A3" w:rsidP="00D65622">
            <w:pPr>
              <w:pBdr>
                <w:bottom w:val="single" w:sz="10" w:space="1" w:color="000000"/>
              </w:pBdr>
              <w:spacing w:line="240" w:lineRule="auto"/>
            </w:pPr>
          </w:p>
        </w:tc>
        <w:tc>
          <w:tcPr>
            <w:tcW w:w="4856" w:type="dxa"/>
            <w:shd w:val="clear" w:color="auto" w:fill="FFFFFF"/>
            <w:noWrap/>
            <w:tcMar>
              <w:top w:w="75" w:type="dxa"/>
              <w:left w:w="75" w:type="dxa"/>
              <w:bottom w:w="75" w:type="dxa"/>
              <w:right w:w="75" w:type="dxa"/>
            </w:tcMar>
            <w:vAlign w:val="center"/>
          </w:tcPr>
          <w:p w14:paraId="7860F251" w14:textId="77777777" w:rsidR="001F34A3" w:rsidRDefault="001F34A3" w:rsidP="00D65622">
            <w:pPr>
              <w:spacing w:line="240" w:lineRule="auto"/>
            </w:pPr>
          </w:p>
        </w:tc>
      </w:tr>
      <w:tr w:rsidR="001F34A3" w14:paraId="421128DE" w14:textId="77777777">
        <w:tc>
          <w:tcPr>
            <w:tcW w:w="4855" w:type="dxa"/>
            <w:shd w:val="clear" w:color="auto" w:fill="FFFFFF"/>
            <w:noWrap/>
            <w:tcMar>
              <w:top w:w="75" w:type="dxa"/>
              <w:left w:w="75" w:type="dxa"/>
              <w:bottom w:w="75" w:type="dxa"/>
              <w:right w:w="75" w:type="dxa"/>
            </w:tcMar>
            <w:vAlign w:val="center"/>
          </w:tcPr>
          <w:p w14:paraId="53352BC0" w14:textId="77777777" w:rsidR="001F34A3" w:rsidRDefault="001F34A3" w:rsidP="00D65622">
            <w:pPr>
              <w:spacing w:line="240" w:lineRule="auto"/>
            </w:pPr>
          </w:p>
        </w:tc>
        <w:tc>
          <w:tcPr>
            <w:tcW w:w="4856" w:type="dxa"/>
            <w:shd w:val="clear" w:color="auto" w:fill="FFFFFF"/>
            <w:noWrap/>
            <w:tcMar>
              <w:top w:w="75" w:type="dxa"/>
              <w:left w:w="75" w:type="dxa"/>
              <w:bottom w:w="75" w:type="dxa"/>
              <w:right w:w="75" w:type="dxa"/>
            </w:tcMar>
            <w:vAlign w:val="center"/>
          </w:tcPr>
          <w:p w14:paraId="39DC5598" w14:textId="77777777" w:rsidR="001F34A3" w:rsidRDefault="00590A8D" w:rsidP="00D65622">
            <w:pPr>
              <w:spacing w:line="240" w:lineRule="auto"/>
              <w:jc w:val="center"/>
            </w:pPr>
            <w:r>
              <w:t>(</w:t>
            </w:r>
            <w:proofErr w:type="spellStart"/>
            <w:r>
              <w:t>dd.mm.gggg</w:t>
            </w:r>
            <w:proofErr w:type="spellEnd"/>
            <w:r>
              <w:t>)</w:t>
            </w:r>
          </w:p>
        </w:tc>
        <w:tc>
          <w:tcPr>
            <w:tcW w:w="4856" w:type="dxa"/>
            <w:shd w:val="clear" w:color="auto" w:fill="FFFFFF"/>
            <w:noWrap/>
            <w:tcMar>
              <w:top w:w="75" w:type="dxa"/>
              <w:left w:w="75" w:type="dxa"/>
              <w:bottom w:w="75" w:type="dxa"/>
              <w:right w:w="75" w:type="dxa"/>
            </w:tcMar>
            <w:vAlign w:val="center"/>
          </w:tcPr>
          <w:p w14:paraId="54CC70D3" w14:textId="77777777" w:rsidR="001F34A3" w:rsidRDefault="001F34A3" w:rsidP="00D65622">
            <w:pPr>
              <w:spacing w:line="240" w:lineRule="auto"/>
            </w:pPr>
          </w:p>
        </w:tc>
      </w:tr>
      <w:tr w:rsidR="001F34A3" w14:paraId="37854469" w14:textId="77777777">
        <w:tc>
          <w:tcPr>
            <w:tcW w:w="4855" w:type="dxa"/>
            <w:shd w:val="clear" w:color="auto" w:fill="FFFFFF"/>
            <w:noWrap/>
            <w:tcMar>
              <w:top w:w="75" w:type="dxa"/>
              <w:left w:w="75" w:type="dxa"/>
              <w:bottom w:w="75" w:type="dxa"/>
              <w:right w:w="75" w:type="dxa"/>
            </w:tcMar>
            <w:vAlign w:val="center"/>
          </w:tcPr>
          <w:p w14:paraId="27599ACD" w14:textId="77777777" w:rsidR="001F34A3" w:rsidRDefault="00590A8D" w:rsidP="00D65622">
            <w:pPr>
              <w:spacing w:line="240" w:lineRule="auto"/>
              <w:jc w:val="left"/>
            </w:pPr>
            <w:r>
              <w:t>Atbildīgā persona</w:t>
            </w:r>
          </w:p>
        </w:tc>
        <w:tc>
          <w:tcPr>
            <w:tcW w:w="4856" w:type="dxa"/>
            <w:shd w:val="clear" w:color="auto" w:fill="FFFFFF"/>
            <w:noWrap/>
            <w:tcMar>
              <w:top w:w="75" w:type="dxa"/>
              <w:left w:w="75" w:type="dxa"/>
              <w:bottom w:w="75" w:type="dxa"/>
              <w:right w:w="75" w:type="dxa"/>
            </w:tcMar>
            <w:vAlign w:val="center"/>
          </w:tcPr>
          <w:p w14:paraId="33946F42" w14:textId="77777777" w:rsidR="001F34A3" w:rsidRDefault="001F34A3" w:rsidP="00D65622">
            <w:pPr>
              <w:pBdr>
                <w:bottom w:val="single" w:sz="10" w:space="1" w:color="000000"/>
              </w:pBdr>
              <w:spacing w:line="240" w:lineRule="auto"/>
            </w:pPr>
          </w:p>
        </w:tc>
        <w:tc>
          <w:tcPr>
            <w:tcW w:w="4856" w:type="dxa"/>
            <w:shd w:val="clear" w:color="auto" w:fill="FFFFFF"/>
            <w:noWrap/>
            <w:tcMar>
              <w:top w:w="75" w:type="dxa"/>
              <w:left w:w="75" w:type="dxa"/>
              <w:bottom w:w="75" w:type="dxa"/>
              <w:right w:w="75" w:type="dxa"/>
            </w:tcMar>
            <w:vAlign w:val="center"/>
          </w:tcPr>
          <w:p w14:paraId="607D0713" w14:textId="77777777" w:rsidR="001F34A3" w:rsidRDefault="001F34A3" w:rsidP="00D65622">
            <w:pPr>
              <w:spacing w:line="240" w:lineRule="auto"/>
            </w:pPr>
          </w:p>
        </w:tc>
      </w:tr>
      <w:tr w:rsidR="001F34A3" w14:paraId="449E08A8" w14:textId="77777777">
        <w:tc>
          <w:tcPr>
            <w:tcW w:w="4855" w:type="dxa"/>
            <w:shd w:val="clear" w:color="auto" w:fill="FFFFFF"/>
            <w:noWrap/>
            <w:tcMar>
              <w:top w:w="75" w:type="dxa"/>
              <w:left w:w="75" w:type="dxa"/>
              <w:bottom w:w="75" w:type="dxa"/>
              <w:right w:w="75" w:type="dxa"/>
            </w:tcMar>
            <w:vAlign w:val="center"/>
          </w:tcPr>
          <w:p w14:paraId="0E9E4830" w14:textId="77777777" w:rsidR="001F34A3" w:rsidRDefault="001F34A3" w:rsidP="00D65622">
            <w:pPr>
              <w:spacing w:line="240" w:lineRule="auto"/>
            </w:pPr>
          </w:p>
        </w:tc>
        <w:tc>
          <w:tcPr>
            <w:tcW w:w="4856" w:type="dxa"/>
            <w:shd w:val="clear" w:color="auto" w:fill="FFFFFF"/>
            <w:noWrap/>
            <w:tcMar>
              <w:top w:w="75" w:type="dxa"/>
              <w:left w:w="75" w:type="dxa"/>
              <w:bottom w:w="75" w:type="dxa"/>
              <w:right w:w="75" w:type="dxa"/>
            </w:tcMar>
            <w:vAlign w:val="center"/>
          </w:tcPr>
          <w:p w14:paraId="69441D52" w14:textId="77777777" w:rsidR="001F34A3" w:rsidRDefault="00590A8D" w:rsidP="00D65622">
            <w:pPr>
              <w:spacing w:line="240" w:lineRule="auto"/>
              <w:jc w:val="center"/>
            </w:pPr>
            <w:r>
              <w:t>(vārds, uzvārds, paraksts**)</w:t>
            </w:r>
          </w:p>
        </w:tc>
        <w:tc>
          <w:tcPr>
            <w:tcW w:w="4856" w:type="dxa"/>
            <w:shd w:val="clear" w:color="auto" w:fill="FFFFFF"/>
            <w:noWrap/>
            <w:tcMar>
              <w:top w:w="75" w:type="dxa"/>
              <w:left w:w="75" w:type="dxa"/>
              <w:bottom w:w="75" w:type="dxa"/>
              <w:right w:w="75" w:type="dxa"/>
            </w:tcMar>
            <w:vAlign w:val="center"/>
          </w:tcPr>
          <w:p w14:paraId="7525C25B" w14:textId="77777777" w:rsidR="001F34A3" w:rsidRDefault="001F34A3" w:rsidP="00D65622">
            <w:pPr>
              <w:spacing w:line="240" w:lineRule="auto"/>
            </w:pPr>
          </w:p>
        </w:tc>
      </w:tr>
    </w:tbl>
    <w:p w14:paraId="7DBEE893" w14:textId="77777777" w:rsidR="001F34A3" w:rsidRDefault="001F34A3" w:rsidP="00D65622"/>
    <w:p w14:paraId="1FED3D8D" w14:textId="77777777" w:rsidR="001F34A3" w:rsidRDefault="00590A8D" w:rsidP="00D65622">
      <w:r>
        <w:t>Piezīmes.</w:t>
      </w:r>
    </w:p>
    <w:p w14:paraId="6B5EFE4C" w14:textId="77777777" w:rsidR="001F34A3" w:rsidRDefault="00590A8D" w:rsidP="00D65622">
      <w:r>
        <w:t>* Iesniedzējs (fiziskai personai – vārds, uzvārds, juridiskai personai – nosaukums) var tikt publiskots, ja viņš tam ir piekritis. Ja attiecināms, iesniedzējs norāda interešu pārstāvja reģistrācijas numuru.</w:t>
      </w:r>
    </w:p>
    <w:p w14:paraId="364E8CAA" w14:textId="77777777" w:rsidR="001F34A3" w:rsidRDefault="00590A8D" w:rsidP="00D65622">
      <w:r>
        <w:t>** Dokumenta rekvizītus "datums" un "paraksts" neaizpilda, ja elektroniskais dokuments ir sagatavots atbilstoši normatīvajiem aktiem par elektronisko dokumentu noformēšanu.</w:t>
      </w:r>
    </w:p>
    <w:sectPr w:rsidR="001F34A3">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7C7B1" w14:textId="77777777" w:rsidR="00590A8D" w:rsidRDefault="00590A8D">
      <w:r>
        <w:separator/>
      </w:r>
    </w:p>
  </w:endnote>
  <w:endnote w:type="continuationSeparator" w:id="0">
    <w:p w14:paraId="4FDDC09D" w14:textId="77777777" w:rsidR="00590A8D" w:rsidRDefault="00590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8895C" w14:textId="77777777" w:rsidR="001F34A3" w:rsidRDefault="00590A8D">
    <w:pPr>
      <w:jc w:val="right"/>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B2905" w14:textId="77777777" w:rsidR="00590A8D" w:rsidRDefault="00590A8D">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D4976" w14:textId="77777777" w:rsidR="00590A8D" w:rsidRDefault="00590A8D">
      <w:r>
        <w:separator/>
      </w:r>
    </w:p>
  </w:footnote>
  <w:footnote w:type="continuationSeparator" w:id="0">
    <w:p w14:paraId="3316BF1E" w14:textId="77777777" w:rsidR="00590A8D" w:rsidRDefault="00590A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E7E73" w14:textId="77777777" w:rsidR="001F34A3" w:rsidRDefault="00590A8D">
    <w:pPr>
      <w:pStyle w:val="Galvene"/>
      <w:contextualSpacing w:val="0"/>
    </w:pPr>
    <w:r>
      <w:t>Viedokļu pārskats 25-TA-2124</w:t>
    </w:r>
    <w:r>
      <w:br/>
      <w:t>Izdrukāts 02.10.2025. 12.12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1DAE7" w14:textId="77777777" w:rsidR="001F34A3" w:rsidRDefault="00590A8D">
    <w:pPr>
      <w:pStyle w:val="Galvene"/>
      <w:contextualSpacing w:val="0"/>
    </w:pPr>
    <w:r>
      <w:t>Viedokļu pārskats 25-TA-2124</w:t>
    </w:r>
    <w:r>
      <w:br/>
      <w:t>Izdrukāts 02.10.2025. 12.12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4A3"/>
    <w:rsid w:val="0007101D"/>
    <w:rsid w:val="000728F9"/>
    <w:rsid w:val="001F34A3"/>
    <w:rsid w:val="00206B5A"/>
    <w:rsid w:val="00404885"/>
    <w:rsid w:val="00457072"/>
    <w:rsid w:val="00590A8D"/>
    <w:rsid w:val="00594FEB"/>
    <w:rsid w:val="00646BAB"/>
    <w:rsid w:val="00663AE8"/>
    <w:rsid w:val="006A31F3"/>
    <w:rsid w:val="007469D7"/>
    <w:rsid w:val="008F6085"/>
    <w:rsid w:val="00924658"/>
    <w:rsid w:val="009C7A6D"/>
    <w:rsid w:val="00D01942"/>
    <w:rsid w:val="00D65622"/>
    <w:rsid w:val="00DF77E4"/>
    <w:rsid w:val="00E04490"/>
    <w:rsid w:val="00F27B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3CB74"/>
  <w15:docId w15:val="{8C697711-8F2A-4890-8E49-BD3A861EB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pPr>
      <w:spacing w:line="644"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rPr>
  </w:style>
  <w:style w:type="paragraph" w:customStyle="1" w:styleId="paragraph">
    <w:name w:val="paragraph"/>
    <w:basedOn w:val="Parasts"/>
    <w:next w:val="Parasts"/>
    <w:pPr>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paragraph" w:customStyle="1" w:styleId="boldparagraphheader">
    <w:name w:val="bold_paragraph_header"/>
    <w:basedOn w:val="Parasts"/>
    <w:next w:val="Parasts"/>
    <w:pPr>
      <w:contextualSpacing/>
      <w:jc w:val="center"/>
    </w:pPr>
    <w:rPr>
      <w:b/>
    </w:rPr>
  </w:style>
  <w:style w:type="table" w:customStyle="1" w:styleId="a">
    <w:basedOn w:val="TableNormal"/>
    <w:tblPr>
      <w:tblStyleRowBandSize w:val="1"/>
      <w:tblStyleColBandSize w:val="1"/>
    </w:tblPr>
  </w:style>
  <w:style w:type="paragraph" w:styleId="Bezatstarpm">
    <w:name w:val="No Spacing"/>
    <w:uiPriority w:val="1"/>
    <w:qFormat/>
    <w:rsid w:val="00D019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4512</Words>
  <Characters>2573</Characters>
  <Application>Microsoft Office Word</Application>
  <DocSecurity>4</DocSecurity>
  <Lines>21</Lines>
  <Paragraphs>14</Paragraphs>
  <ScaleCrop>false</ScaleCrop>
  <HeadingPairs>
    <vt:vector size="2" baseType="variant">
      <vt:variant>
        <vt:lpstr>Nosaukums</vt:lpstr>
      </vt:variant>
      <vt:variant>
        <vt:i4>1</vt:i4>
      </vt:variant>
    </vt:vector>
  </HeadingPairs>
  <TitlesOfParts>
    <vt:vector size="1" baseType="lpstr">
      <vt:lpstr>viedoklu_parskats_25-TA-2124.docx</vt:lpstr>
    </vt:vector>
  </TitlesOfParts>
  <Company/>
  <LinksUpToDate>false</LinksUpToDate>
  <CharactersWithSpaces>7071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viedoklu_parskats_25-TA-2124.docx</dc:title>
  <dc:creator>Ilze Māliņa</dc:creator>
  <cp:lastModifiedBy>Ilze Māliņa</cp:lastModifiedBy>
  <cp:revision>2</cp:revision>
  <dcterms:created xsi:type="dcterms:W3CDTF">2025-10-14T12:10:00Z</dcterms:created>
  <dcterms:modified xsi:type="dcterms:W3CDTF">2025-10-14T12:10:00Z</dcterms:modified>
</cp:coreProperties>
</file>