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45E9600" w14:textId="072BC17C" w:rsidR="00D02C10" w:rsidRDefault="00A344CF">
      <w:pPr>
        <w:spacing w:after="240"/>
        <w:jc w:val="center"/>
        <w:rPr>
          <w:b/>
        </w:rPr>
      </w:pPr>
      <w:bookmarkStart w:id="0" w:name="OLE_LINK2"/>
      <w:r>
        <w:rPr>
          <w:b/>
        </w:rPr>
        <w:t>“</w:t>
      </w:r>
      <w:bookmarkStart w:id="1" w:name="OLE_LINK4"/>
      <w:r>
        <w:rPr>
          <w:b/>
        </w:rPr>
        <w:t>Publiskās apspriešanas laikā 13.11.2024. - 27.11.2024. saņemto viedokļu, priekšlikumu un iebildumu apkopojums par Grozījums Ministru kabineta 2015. gada 29. septembra noteikumos Nr.</w:t>
      </w:r>
      <w:r w:rsidR="008B283C">
        <w:rPr>
          <w:b/>
        </w:rPr>
        <w:t> </w:t>
      </w:r>
      <w:r>
        <w:rPr>
          <w:b/>
        </w:rPr>
        <w:t xml:space="preserve">545 "Pārtikas apritē nodarbināto personu apmācības kārtība </w:t>
      </w:r>
      <w:r>
        <w:rPr>
          <w:b/>
        </w:rPr>
        <w:t>pārtikas higiēnas jomā"”</w:t>
      </w:r>
      <w:bookmarkEnd w:id="1"/>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055"/>
        <w:gridCol w:w="4056"/>
        <w:gridCol w:w="1650"/>
        <w:gridCol w:w="4056"/>
      </w:tblGrid>
      <w:tr w:rsidR="00D02C10" w14:paraId="2CC5C58B" w14:textId="77777777">
        <w:tc>
          <w:tcPr>
            <w:tcW w:w="750" w:type="dxa"/>
            <w:shd w:val="clear" w:color="auto" w:fill="FFFFFF"/>
            <w:noWrap/>
            <w:tcMar>
              <w:top w:w="75" w:type="dxa"/>
              <w:left w:w="75" w:type="dxa"/>
              <w:bottom w:w="75" w:type="dxa"/>
              <w:right w:w="75" w:type="dxa"/>
            </w:tcMar>
            <w:vAlign w:val="center"/>
          </w:tcPr>
          <w:bookmarkEnd w:id="0"/>
          <w:p w14:paraId="3BAD1DB2" w14:textId="77777777" w:rsidR="00D02C10" w:rsidRDefault="00A344CF">
            <w:pPr>
              <w:jc w:val="center"/>
            </w:pPr>
            <w:proofErr w:type="spellStart"/>
            <w:r>
              <w:rPr>
                <w:b/>
              </w:rPr>
              <w:t>Nr.p.k</w:t>
            </w:r>
            <w:proofErr w:type="spellEnd"/>
            <w:r>
              <w:rPr>
                <w:b/>
              </w:rPr>
              <w:t>.</w:t>
            </w:r>
          </w:p>
        </w:tc>
        <w:tc>
          <w:tcPr>
            <w:tcW w:w="4055" w:type="dxa"/>
            <w:shd w:val="clear" w:color="auto" w:fill="FFFFFF"/>
            <w:noWrap/>
            <w:tcMar>
              <w:top w:w="75" w:type="dxa"/>
              <w:left w:w="75" w:type="dxa"/>
              <w:bottom w:w="75" w:type="dxa"/>
              <w:right w:w="75" w:type="dxa"/>
            </w:tcMar>
            <w:vAlign w:val="center"/>
          </w:tcPr>
          <w:p w14:paraId="7B590922" w14:textId="77777777" w:rsidR="00D02C10" w:rsidRDefault="00A344CF">
            <w:pPr>
              <w:jc w:val="center"/>
            </w:pPr>
            <w:r>
              <w:rPr>
                <w:b/>
              </w:rPr>
              <w:t>Viedokļa / priekšlikuma / iebilduma iesniedzējs*</w:t>
            </w:r>
          </w:p>
        </w:tc>
        <w:tc>
          <w:tcPr>
            <w:tcW w:w="4056" w:type="dxa"/>
            <w:shd w:val="clear" w:color="auto" w:fill="FFFFFF"/>
            <w:noWrap/>
            <w:tcMar>
              <w:top w:w="75" w:type="dxa"/>
              <w:left w:w="75" w:type="dxa"/>
              <w:bottom w:w="75" w:type="dxa"/>
              <w:right w:w="75" w:type="dxa"/>
            </w:tcMar>
            <w:vAlign w:val="center"/>
          </w:tcPr>
          <w:p w14:paraId="21C04488" w14:textId="77777777" w:rsidR="00D02C10" w:rsidRDefault="00A344CF">
            <w:pPr>
              <w:jc w:val="center"/>
            </w:pPr>
            <w:r>
              <w:rPr>
                <w:b/>
              </w:rPr>
              <w:t>Iesniegtā viedokļa / priekšlikuma / iebilduma būtība</w:t>
            </w:r>
          </w:p>
        </w:tc>
        <w:tc>
          <w:tcPr>
            <w:tcW w:w="1650" w:type="dxa"/>
            <w:shd w:val="clear" w:color="auto" w:fill="FFFFFF"/>
            <w:noWrap/>
            <w:tcMar>
              <w:top w:w="75" w:type="dxa"/>
              <w:left w:w="75" w:type="dxa"/>
              <w:bottom w:w="75" w:type="dxa"/>
              <w:right w:w="75" w:type="dxa"/>
            </w:tcMar>
            <w:vAlign w:val="center"/>
          </w:tcPr>
          <w:p w14:paraId="6811CD87" w14:textId="77777777" w:rsidR="00D02C10" w:rsidRDefault="00A344CF">
            <w:pPr>
              <w:jc w:val="center"/>
            </w:pPr>
            <w:r>
              <w:rPr>
                <w:b/>
              </w:rPr>
              <w:t>Ņemts vērā / ņemts vērā daļēji / nav ņemts vērā</w:t>
            </w:r>
          </w:p>
        </w:tc>
        <w:tc>
          <w:tcPr>
            <w:tcW w:w="4056" w:type="dxa"/>
            <w:shd w:val="clear" w:color="auto" w:fill="FFFFFF"/>
            <w:noWrap/>
            <w:tcMar>
              <w:top w:w="75" w:type="dxa"/>
              <w:left w:w="75" w:type="dxa"/>
              <w:bottom w:w="75" w:type="dxa"/>
              <w:right w:w="75" w:type="dxa"/>
            </w:tcMar>
            <w:vAlign w:val="center"/>
          </w:tcPr>
          <w:p w14:paraId="0E068FC2" w14:textId="77777777" w:rsidR="00D02C10" w:rsidRDefault="00A344CF">
            <w:pPr>
              <w:jc w:val="center"/>
            </w:pPr>
            <w:r>
              <w:rPr>
                <w:b/>
              </w:rPr>
              <w:t>Skaidrojums, kādā veidā viedoklis / priekšlikums / iebildums ir ņemts vērā vai ņemts vērā daļēji, vai pamatojums, ja viedoklis / priekšlikums / iebildums nav ņemts vērā</w:t>
            </w:r>
          </w:p>
        </w:tc>
      </w:tr>
      <w:tr w:rsidR="00D02C10" w14:paraId="7DCA7205" w14:textId="77777777">
        <w:tc>
          <w:tcPr>
            <w:tcW w:w="750" w:type="dxa"/>
            <w:shd w:val="clear" w:color="auto" w:fill="FFFFFF"/>
            <w:noWrap/>
            <w:tcMar>
              <w:top w:w="75" w:type="dxa"/>
              <w:left w:w="75" w:type="dxa"/>
              <w:bottom w:w="75" w:type="dxa"/>
              <w:right w:w="75" w:type="dxa"/>
            </w:tcMar>
            <w:vAlign w:val="center"/>
          </w:tcPr>
          <w:p w14:paraId="3A382496" w14:textId="77777777" w:rsidR="00D02C10" w:rsidRDefault="00A344CF">
            <w:pPr>
              <w:jc w:val="center"/>
            </w:pPr>
            <w:r>
              <w:t>1.</w:t>
            </w:r>
          </w:p>
        </w:tc>
        <w:tc>
          <w:tcPr>
            <w:tcW w:w="4055" w:type="dxa"/>
            <w:shd w:val="clear" w:color="auto" w:fill="FFFFFF"/>
            <w:noWrap/>
            <w:tcMar>
              <w:top w:w="75" w:type="dxa"/>
              <w:left w:w="75" w:type="dxa"/>
              <w:bottom w:w="75" w:type="dxa"/>
              <w:right w:w="75" w:type="dxa"/>
            </w:tcMar>
            <w:vAlign w:val="center"/>
          </w:tcPr>
          <w:p w14:paraId="16E06616" w14:textId="77777777" w:rsidR="00D02C10" w:rsidRDefault="00A344CF">
            <w:pPr>
              <w:jc w:val="left"/>
            </w:pPr>
            <w:r>
              <w:t xml:space="preserve">"Latvijas Pārtikas Tirgotāju Asociācija", Norītis Noris </w:t>
            </w:r>
            <w:proofErr w:type="spellStart"/>
            <w:r>
              <w:t>Krūzītis</w:t>
            </w:r>
            <w:proofErr w:type="spellEnd"/>
          </w:p>
        </w:tc>
        <w:tc>
          <w:tcPr>
            <w:tcW w:w="4056" w:type="dxa"/>
            <w:shd w:val="clear" w:color="auto" w:fill="FFFFFF"/>
            <w:noWrap/>
            <w:tcMar>
              <w:top w:w="75" w:type="dxa"/>
              <w:left w:w="75" w:type="dxa"/>
              <w:bottom w:w="75" w:type="dxa"/>
              <w:right w:w="75" w:type="dxa"/>
            </w:tcMar>
            <w:vAlign w:val="center"/>
          </w:tcPr>
          <w:p w14:paraId="39B91A6E" w14:textId="77777777" w:rsidR="00D02C10" w:rsidRDefault="00A344CF">
            <w:pPr>
              <w:jc w:val="left"/>
            </w:pPr>
            <w:r>
              <w:t>Papildināt ar 5.1 punktu šādā redakcijā:</w:t>
            </w:r>
            <w:r>
              <w:br/>
              <w:t>"5.1 Pēc mācību kursa noklausīšanās darbinieks kārto rakstveida pārbaudes darbu (kursa apguve un pārbaudes darbs var būt digitālā formā). Pārbaudes darba apjoms ir vismaz piecpadsmit jautājumi par dažādām ar pārtikas higiēnu un nekaitīgumu saistītām tēmām. Mācību kursu uzskata par apgūtu, ja pārbaudes darbā pareizi atbildēti vismaz 90 procenti no kopējā jautājumu skaita."</w:t>
            </w:r>
            <w:r>
              <w:br/>
              <w:t>2.</w:t>
            </w:r>
            <w:r>
              <w:br/>
              <w:t xml:space="preserve">Papildināt ar 11. punktu šādā </w:t>
            </w:r>
            <w:r>
              <w:lastRenderedPageBreak/>
              <w:t>redakcijā:</w:t>
            </w:r>
            <w:r>
              <w:br/>
              <w:t>"11. Šo noteikumu 5.1 punkts stājas spēkā 3 mēnešus pēc izsludināšanas. Līdz noteikumu spēkā</w:t>
            </w:r>
            <w:r>
              <w:t xml:space="preserve"> stāšanās dienai iegūtās apliecības derīgas trīs gadus no to izsniegšanas brīža”.</w:t>
            </w:r>
            <w:r>
              <w:br/>
              <w:t>Argumenti:</w:t>
            </w:r>
            <w:r>
              <w:br/>
              <w:t>Pārbaudes darba apjomam jābūt loģiski saistītam ar mācību ilgumu, MK noteikumos noteikts, ka mācību kursa apjoms ir 3h. Pieaugušo izglītības pilnveides kursu prakse mūsdienās iesaka kursu noslēgumā sagatavot pārbaudes testu par kursā laikā apskatītajiem kritiski svarīgiem aspektiem saprātīgā apjomā, kas optimāli būtu 15-20 jautājumi. 50 jautājumu testa apjoms (5 par katru nodaļu un apakšnodaļu) ir vērtējama kā pārmē</w:t>
            </w:r>
            <w:r>
              <w:t>rīga prasība 3h kursam.</w:t>
            </w:r>
            <w:r>
              <w:br/>
              <w:t xml:space="preserve">Prasību ieviešanai nepieciešams saprātīgs laika periods, iesakām vismaz 3 mēnešus pēc izsludināšanas Latvijas Vēstnesī. Vairāki pārtikas aprites uzņēmumi </w:t>
            </w:r>
            <w:r>
              <w:lastRenderedPageBreak/>
              <w:t>kursa apguvei ir izstrādājuši digitālus risinājumus, tai skaitā ar ārējo IT partneru tehnisko iesaisti.  Digitālas formas kursa satura izmaiņām  uzņēmējiem būs nepieciešami gan finanšu, gan laika resursi.</w:t>
            </w:r>
            <w:r>
              <w:br/>
              <w:t>Pārbaudes darbs var tikt kārtots digitālā formā</w:t>
            </w:r>
            <w:r>
              <w:br/>
              <w:t>Pārbaudes darba ieviešanas prasība pēc būtības neskar anotācijā minēto problēmu:</w:t>
            </w:r>
            <w:r>
              <w:br/>
            </w:r>
            <w:r>
              <w:t>“Problēmas apraksts. Pastāv risks, ka personas, kas iesaistītas pārtikas apritē, iespējams, nav apguvušas nepieciešamās zināšanas pārtikas higiēnas jautājumos. Tas var radīt higiēnas pārkāpumus un pārtikas nekaitīguma apdraudējumu, īpaši attiecībā uz personām, kuras piegādā pārtiku, tostarp gatavos ēdienus (kurjeri), kuriem šīs zināšanas ir būtiskas ikdienas darbā.”</w:t>
            </w:r>
            <w:r>
              <w:br/>
              <w:t>MK noteikumu 3.2. p-</w:t>
            </w:r>
            <w:proofErr w:type="spellStart"/>
            <w:r>
              <w:t>ts</w:t>
            </w:r>
            <w:proofErr w:type="spellEnd"/>
            <w:r>
              <w:t xml:space="preserve"> nosaka, ka “Mācības pārtikas higiēnas jomā nav nepieciešamas, ja </w:t>
            </w:r>
            <w:r>
              <w:lastRenderedPageBreak/>
              <w:t xml:space="preserve">darbinieks </w:t>
            </w:r>
            <w:proofErr w:type="spellStart"/>
            <w:r>
              <w:t>nodarbinātstikai</w:t>
            </w:r>
            <w:proofErr w:type="spellEnd"/>
            <w:r>
              <w:t xml:space="preserve"> fasētu pārtikas produktu uz</w:t>
            </w:r>
            <w:r>
              <w:t>glabāšanas, pārvadāšanas un izplatīšanas jomā un produkta saturam nevar piekļūt, to neatverot vai nemainot iepakojumu”</w:t>
            </w:r>
          </w:p>
        </w:tc>
        <w:tc>
          <w:tcPr>
            <w:tcW w:w="1650" w:type="dxa"/>
            <w:shd w:val="clear" w:color="auto" w:fill="FFFFFF"/>
            <w:noWrap/>
            <w:tcMar>
              <w:top w:w="75" w:type="dxa"/>
              <w:left w:w="75" w:type="dxa"/>
              <w:bottom w:w="75" w:type="dxa"/>
              <w:right w:w="75" w:type="dxa"/>
            </w:tcMar>
            <w:vAlign w:val="center"/>
          </w:tcPr>
          <w:p w14:paraId="0D37CFE5" w14:textId="74B4DE37" w:rsidR="00D02C10" w:rsidRDefault="00FD70BC">
            <w:pPr>
              <w:jc w:val="left"/>
            </w:pPr>
            <w:r>
              <w:lastRenderedPageBreak/>
              <w:t>Ņemts vērā</w:t>
            </w:r>
          </w:p>
        </w:tc>
        <w:tc>
          <w:tcPr>
            <w:tcW w:w="4056" w:type="dxa"/>
            <w:shd w:val="clear" w:color="auto" w:fill="FFFFFF"/>
            <w:noWrap/>
            <w:tcMar>
              <w:top w:w="75" w:type="dxa"/>
              <w:left w:w="75" w:type="dxa"/>
              <w:bottom w:w="75" w:type="dxa"/>
              <w:right w:w="75" w:type="dxa"/>
            </w:tcMar>
            <w:vAlign w:val="center"/>
          </w:tcPr>
          <w:p w14:paraId="312F472E" w14:textId="558E3666" w:rsidR="00D02C10" w:rsidRDefault="00FD70BC">
            <w:pPr>
              <w:jc w:val="left"/>
            </w:pPr>
            <w:bookmarkStart w:id="2" w:name="OLE_LINK1"/>
            <w:r>
              <w:t>Samazināts jautājumu skaits un rakstveida pārbaudījuma sekmīgai nokārtošanai nepieciešamie procenti. Papildināta anotācija.</w:t>
            </w:r>
            <w:bookmarkEnd w:id="2"/>
          </w:p>
        </w:tc>
      </w:tr>
      <w:tr w:rsidR="00D02C10" w14:paraId="5F2D3662" w14:textId="77777777">
        <w:tc>
          <w:tcPr>
            <w:tcW w:w="750" w:type="dxa"/>
            <w:shd w:val="clear" w:color="auto" w:fill="FFFFFF"/>
            <w:noWrap/>
            <w:tcMar>
              <w:top w:w="75" w:type="dxa"/>
              <w:left w:w="75" w:type="dxa"/>
              <w:bottom w:w="75" w:type="dxa"/>
              <w:right w:w="75" w:type="dxa"/>
            </w:tcMar>
            <w:vAlign w:val="center"/>
          </w:tcPr>
          <w:p w14:paraId="5A852080" w14:textId="77777777" w:rsidR="00D02C10" w:rsidRDefault="00A344CF">
            <w:pPr>
              <w:jc w:val="center"/>
            </w:pPr>
            <w:r>
              <w:lastRenderedPageBreak/>
              <w:t>2.</w:t>
            </w:r>
          </w:p>
        </w:tc>
        <w:tc>
          <w:tcPr>
            <w:tcW w:w="4055" w:type="dxa"/>
            <w:shd w:val="clear" w:color="auto" w:fill="FFFFFF"/>
            <w:noWrap/>
            <w:tcMar>
              <w:top w:w="75" w:type="dxa"/>
              <w:left w:w="75" w:type="dxa"/>
              <w:bottom w:w="75" w:type="dxa"/>
              <w:right w:w="75" w:type="dxa"/>
            </w:tcMar>
            <w:vAlign w:val="center"/>
          </w:tcPr>
          <w:p w14:paraId="403CC3EA" w14:textId="77777777" w:rsidR="00D02C10" w:rsidRDefault="00A344CF">
            <w:pPr>
              <w:jc w:val="left"/>
            </w:pPr>
            <w:r>
              <w:t xml:space="preserve">SIA "Latvijas Lauku konsultāciju un </w:t>
            </w:r>
            <w:r>
              <w:t>izglītības centrs"</w:t>
            </w:r>
          </w:p>
        </w:tc>
        <w:tc>
          <w:tcPr>
            <w:tcW w:w="4056" w:type="dxa"/>
            <w:shd w:val="clear" w:color="auto" w:fill="FFFFFF"/>
            <w:noWrap/>
            <w:tcMar>
              <w:top w:w="75" w:type="dxa"/>
              <w:left w:w="75" w:type="dxa"/>
              <w:bottom w:w="75" w:type="dxa"/>
              <w:right w:w="75" w:type="dxa"/>
            </w:tcMar>
            <w:vAlign w:val="center"/>
          </w:tcPr>
          <w:p w14:paraId="7634B3AF" w14:textId="77777777" w:rsidR="00D02C10" w:rsidRDefault="00A344CF">
            <w:pPr>
              <w:jc w:val="left"/>
            </w:pPr>
            <w:r>
              <w:t>Grozījumi Ministru kabineta 2015. gada 29. septembra noteikumos Nr. 545 "Pārtikas apritē nodarbināto personu apmācības kārtība pārtikas higiēnas jomā"</w:t>
            </w:r>
            <w:r>
              <w:br/>
              <w:t>Nr. 24-TA-2670</w:t>
            </w:r>
            <w:r>
              <w:br/>
            </w:r>
            <w:r>
              <w:br/>
              <w:t>Esošā redakcija:</w:t>
            </w:r>
            <w:r>
              <w:br/>
              <w:t>"5.1 Pēc mācību kursa noklausīšanās darbinieks kārto rakstveida pārbaudes darbu. Pārbaudes darba apjoms ir vismaz pieci jautājumi par katru mācību programmas punktu un apakšpunktu. Mācību kursu uzskata par apgūtu, ja pārbaudes darbā pareizi atbildēti vismaz 90 procenti no kopējā jautājumu skaita."</w:t>
            </w:r>
            <w:r>
              <w:br/>
            </w:r>
            <w:r>
              <w:br/>
            </w:r>
            <w:r>
              <w:lastRenderedPageBreak/>
              <w:t>1) Iebildumi:</w:t>
            </w:r>
            <w:r>
              <w:br/>
              <w:t>Iebilstam pret noteikumu projekta 5.1 redakciju, kas šobrīd ir neprecīza par piedāvāto, kas ietver prasību par rakstveida pārbaudes darba kārtošanu, tomēr nav skaid</w:t>
            </w:r>
            <w:r>
              <w:t xml:space="preserve">rs, vai pārbaudījums obligāti jākārto klātienē, vai rakstveida pārbaudījums ir pieļaujams arī </w:t>
            </w:r>
            <w:proofErr w:type="spellStart"/>
            <w:r>
              <w:t>tiešsaistē.Vēršam</w:t>
            </w:r>
            <w:proofErr w:type="spellEnd"/>
            <w:r>
              <w:t xml:space="preserve"> uzmanību, ka zināšanu pārbaudes darbu </w:t>
            </w:r>
            <w:proofErr w:type="spellStart"/>
            <w:r>
              <w:t>rakstveidā</w:t>
            </w:r>
            <w:proofErr w:type="spellEnd"/>
            <w:r>
              <w:t xml:space="preserve"> var kārtot izmantojot mūsdienu tehnoloģijas un </w:t>
            </w:r>
            <w:proofErr w:type="spellStart"/>
            <w:r>
              <w:t>digitalizācijas</w:t>
            </w:r>
            <w:proofErr w:type="spellEnd"/>
            <w:r>
              <w:t xml:space="preserve"> rīkus, kas var būt efektīvāki risinājumi apmācību un pārbaudes darbu organizēšanai.</w:t>
            </w:r>
            <w:r>
              <w:br/>
            </w:r>
            <w:r>
              <w:br/>
            </w:r>
            <w:proofErr w:type="spellStart"/>
            <w:r>
              <w:t>Digitalizācijas</w:t>
            </w:r>
            <w:proofErr w:type="spellEnd"/>
            <w:r>
              <w:t xml:space="preserve"> attīstība un tehnoloģiju progresēšana piedāvā jaunus instrumentus un metodes apmācību procesa nodrošināšanai, kas ir daudz pieejamāki un efektīvāki gan uzņēmējiem, gan darbiniekiem. Attāl</w:t>
            </w:r>
            <w:r>
              <w:t xml:space="preserve">inātās apmācību platformas ļauj nodrošināt elastīgumu, ietaupot laiku un resursus, vienlaikus saglabājot mācību kvalitāti. Šādā </w:t>
            </w:r>
            <w:r>
              <w:lastRenderedPageBreak/>
              <w:t>veidā darbiniekiem tiek sniegta iespēja apgūt nepieciešamās zināšanas neatkarīgi no ģeogrāfiskās atrašanās vietas, kā arī tiek novērsta nepieciešamība pēc papildus izmaksām un organizatoriskām grūtībām, kas saistītas ar klātienes pārbaudes organizēšanu.</w:t>
            </w:r>
            <w:r>
              <w:br/>
            </w:r>
            <w:r>
              <w:br/>
              <w:t xml:space="preserve">Ierosinām pārskatīt pārbaudes formātu, piedāvājot attālinātus testus, kas varētu efektīvi aizstāt klātienes rakstveida pārbaudes </w:t>
            </w:r>
            <w:r>
              <w:t>darbus, saglabājot apmācību kvalitāti un nodrošinot lielāku pieejamību un elastību darba devējiem un darbiniekiem. Ierosinām precizēt noteikumu anotāciju, skaidrojot, kas rakstveida pārbaudes darbu var kārtot gan klātienē, gan attālināti, ja vien tiek nodrošināta zināšanu apguves un pārbaudes kvalitāte.</w:t>
            </w:r>
            <w:r>
              <w:br/>
            </w:r>
            <w:r>
              <w:br/>
              <w:t xml:space="preserve">2) Ierosinājumi par testa sagatavošanas prasību mācību kursā "Minimālās higiēnas </w:t>
            </w:r>
            <w:r>
              <w:lastRenderedPageBreak/>
              <w:t>prasības pārtikas uzņēmumā".</w:t>
            </w:r>
            <w:r>
              <w:br/>
              <w:t>Kā izriet no noteikumu projekta prasībām, testā jābūt vismaz pieciem jautājumiem par katru no če</w:t>
            </w:r>
            <w:r>
              <w:t>triem mācību programmas punktiem un deviņiem apakšpunktiem, kas prasa plašu un detalizētu jautājumu izstrādi.  </w:t>
            </w:r>
            <w:r>
              <w:br/>
            </w:r>
            <w:r>
              <w:br/>
              <w:t>Ierosinām veikt šādas izmaiņas:</w:t>
            </w:r>
            <w:r>
              <w:br/>
              <w:t>1.    Precizēt noteikumu projektu un anotāciju, tekstā lietot vienādus terminus, lai noteikumu normas tiktu interpretētas viennozīmīgi. Pašlaik nav viennozīmīgi skaidrs, kas ir programmas punkts un apakšpunkts, jo MK noteikumu 1.pielikumā ir dots Mācību kursa "Minimālās higiēnas prasības pārtikas uzņēmumā" saturs  ar punktiem un apakšpunktiem. Savukārt 5.1 ir teikt</w:t>
            </w:r>
            <w:r>
              <w:t xml:space="preserve">s pārbaudes darba apjoms ir vismaz pieci jautājumi par katru mācību programmas punktu un apakšpunktu. Vēršam uzmanību, ka jautājumu skaits par katru punktu un apakšpunktu negarantē </w:t>
            </w:r>
            <w:r>
              <w:lastRenderedPageBreak/>
              <w:t>mācību kursa apguves kvalitāti.</w:t>
            </w:r>
            <w:r>
              <w:br/>
              <w:t>2.    Samazināt jautājumu skaitu, lai samazinātu administratīvo slogu, kā arī pārskatīt un uzlabot noteikumu projekta 5.1 punktu, lai tas nodrošinātu mācību kursa apguves kvalitāti un testu efektivitāti, kā arī vienlaicīgi veicinātu higiēnas prasību ievērošanu pārtikas uzņēmumā. Vēršam uzmanību, ka</w:t>
            </w:r>
            <w:r>
              <w:t xml:space="preserve"> noteikumu projektā ierosinātā pārbaudījumu testēšanas pieeja, ņemot vērā darbinieku darba specifiku katrā nozarē, var radīt nevienlīdzīgas grūtības. Katrs darbinieks strādā atšķirīgā darba vidē, un darba pienākumu atšķirības var ietekmēt viņa sagatavotību un spējas atbildēt uz visiem jautājumiem.</w:t>
            </w:r>
            <w:r>
              <w:br/>
              <w:t>3.    Ierosinām pārskatīt prasību par 90% pareizi atbildētajiem jautājumiem, jo šis slieksnis var būt pārāk stingrs.</w:t>
            </w:r>
            <w:r>
              <w:br/>
              <w:t>4.    Veikt administratīvā sloga un papildu izmaksu novērtējumu juridiskām personām, kurām būs v</w:t>
            </w:r>
            <w:r>
              <w:t xml:space="preserve">airāk darba, jo būs jāveic </w:t>
            </w:r>
            <w:r>
              <w:lastRenderedPageBreak/>
              <w:t>rakstveida pārbaudījuma novērtēšana ar lielu jautājumu apjomu. Šobrīd administratīvās izmaksas juridiskajām personām ir novērtētas tikai par rakstveida zināšanu pārbaudei ir metodikas izstrādi. Aicinām papildināt papildu izmaksu novērtējuma rezultātus noteikumu projekta anotācijas sadaļā “2.3. Administratīvo izmaksu novērtējums juridiskām personām” (izmaksas, kas palielināsies sakarā ar rakstveida pārbaudījumu novērtēšanu)</w:t>
            </w:r>
            <w:r>
              <w:br/>
            </w:r>
            <w:r>
              <w:br/>
            </w:r>
            <w:r>
              <w:br/>
            </w:r>
          </w:p>
        </w:tc>
        <w:tc>
          <w:tcPr>
            <w:tcW w:w="1650" w:type="dxa"/>
            <w:shd w:val="clear" w:color="auto" w:fill="FFFFFF"/>
            <w:noWrap/>
            <w:tcMar>
              <w:top w:w="75" w:type="dxa"/>
              <w:left w:w="75" w:type="dxa"/>
              <w:bottom w:w="75" w:type="dxa"/>
              <w:right w:w="75" w:type="dxa"/>
            </w:tcMar>
            <w:vAlign w:val="center"/>
          </w:tcPr>
          <w:p w14:paraId="5EDE2BF2" w14:textId="35445873" w:rsidR="00D02C10" w:rsidRDefault="00FD70BC">
            <w:pPr>
              <w:jc w:val="left"/>
            </w:pPr>
            <w:r>
              <w:lastRenderedPageBreak/>
              <w:t>Ņemts vērā</w:t>
            </w:r>
          </w:p>
        </w:tc>
        <w:tc>
          <w:tcPr>
            <w:tcW w:w="4056" w:type="dxa"/>
            <w:shd w:val="clear" w:color="auto" w:fill="FFFFFF"/>
            <w:noWrap/>
            <w:tcMar>
              <w:top w:w="75" w:type="dxa"/>
              <w:left w:w="75" w:type="dxa"/>
              <w:bottom w:w="75" w:type="dxa"/>
              <w:right w:w="75" w:type="dxa"/>
            </w:tcMar>
            <w:vAlign w:val="center"/>
          </w:tcPr>
          <w:p w14:paraId="0C48C7FF" w14:textId="754DEF8E" w:rsidR="00D02C10" w:rsidRDefault="00FD70BC">
            <w:pPr>
              <w:jc w:val="left"/>
            </w:pPr>
            <w:r>
              <w:t>Samazināts jautājumu skaits un rakstveida pārbaudījuma sekmīgai nokārtošanai nepieciešamie procenti. Papildināta anotācija.</w:t>
            </w:r>
          </w:p>
        </w:tc>
      </w:tr>
      <w:tr w:rsidR="00D02C10" w14:paraId="011CF499" w14:textId="77777777">
        <w:tc>
          <w:tcPr>
            <w:tcW w:w="750" w:type="dxa"/>
            <w:shd w:val="clear" w:color="auto" w:fill="FFFFFF"/>
            <w:noWrap/>
            <w:tcMar>
              <w:top w:w="75" w:type="dxa"/>
              <w:left w:w="75" w:type="dxa"/>
              <w:bottom w:w="75" w:type="dxa"/>
              <w:right w:w="75" w:type="dxa"/>
            </w:tcMar>
            <w:vAlign w:val="center"/>
          </w:tcPr>
          <w:p w14:paraId="648C4902" w14:textId="77777777" w:rsidR="00D02C10" w:rsidRDefault="00A344CF">
            <w:pPr>
              <w:jc w:val="center"/>
            </w:pPr>
            <w:r>
              <w:lastRenderedPageBreak/>
              <w:t>3.</w:t>
            </w:r>
          </w:p>
        </w:tc>
        <w:tc>
          <w:tcPr>
            <w:tcW w:w="4055" w:type="dxa"/>
            <w:shd w:val="clear" w:color="auto" w:fill="FFFFFF"/>
            <w:noWrap/>
            <w:tcMar>
              <w:top w:w="75" w:type="dxa"/>
              <w:left w:w="75" w:type="dxa"/>
              <w:bottom w:w="75" w:type="dxa"/>
              <w:right w:w="75" w:type="dxa"/>
            </w:tcMar>
            <w:vAlign w:val="center"/>
          </w:tcPr>
          <w:p w14:paraId="74D9B1C8" w14:textId="77777777" w:rsidR="00D02C10" w:rsidRDefault="00A344CF">
            <w:pPr>
              <w:jc w:val="left"/>
            </w:pPr>
            <w:r>
              <w:t>Biedrība "Latvijas Biškopības biedrība"</w:t>
            </w:r>
          </w:p>
        </w:tc>
        <w:tc>
          <w:tcPr>
            <w:tcW w:w="4056" w:type="dxa"/>
            <w:shd w:val="clear" w:color="auto" w:fill="FFFFFF"/>
            <w:noWrap/>
            <w:tcMar>
              <w:top w:w="75" w:type="dxa"/>
              <w:left w:w="75" w:type="dxa"/>
              <w:bottom w:w="75" w:type="dxa"/>
              <w:right w:w="75" w:type="dxa"/>
            </w:tcMar>
            <w:vAlign w:val="center"/>
          </w:tcPr>
          <w:p w14:paraId="5E86409D" w14:textId="77777777" w:rsidR="00D02C10" w:rsidRDefault="00A344CF">
            <w:pPr>
              <w:jc w:val="left"/>
            </w:pPr>
            <w:r>
              <w:t>Latvijas Biškopības biedrības (LBB) priekšlikumi.</w:t>
            </w:r>
            <w:r>
              <w:br/>
              <w:t>Priekšlikumi par noteikumu projekta 1.punktu:</w:t>
            </w:r>
            <w:r>
              <w:br/>
              <w:t xml:space="preserve">1) ierosinām samazināt pārbaudes jautājumu skaitu, jo jautājumu skaits par katru programmas punktu un apakšpunktu ir pārāk liels. Pārbaudes jautājumu skaits ir </w:t>
            </w:r>
            <w:r>
              <w:lastRenderedPageBreak/>
              <w:t>kvantitatīvs lielums, kas negarantē to, ka pārtikas uzņēmumā nodarbinātais iegūs izcilas zināšanas par minimālajām higiēnas prasībām, jo svarīgi ir sagatavot kvalitatīvus pārbaudes jautājumus pēc būtības, ņemot vērā pārtikas uzņēmuma nozares specifiku un prasības.</w:t>
            </w:r>
            <w:r>
              <w:br/>
              <w:t>Turklāt, pārbaudes nokārtošana negarantē</w:t>
            </w:r>
            <w:r>
              <w:t xml:space="preserve"> to, ka pārtikas uzņēmumā nodarbinātais ievēros minimālās higiēnas prasības. Tāpēc, ja ir konstatēti regulāri pārkāpumi vai problēmas pārtikas uzņēmumos, kas darbojas kādā no aprites posmiem, piemēram, kurjeri, kas piegādā pārtiku, tad nav saprātīgi palielināt administratīvo slogu visiem pārtikas uzņēmumiem par mācību kursa pārbaudēm. Svarīgi šo problēmu risināt ar citām metodēm, piemēram, pastiprinot pārbaudes pārtikas uzņēmumos, kas nodarbina pārtikas piegādes kurjerus un kuros konstatēti pārkāpumi.</w:t>
            </w:r>
            <w:r>
              <w:br/>
            </w:r>
            <w:r>
              <w:lastRenderedPageBreak/>
              <w:t>2) ai</w:t>
            </w:r>
            <w:r>
              <w:t>cinām atkārtoti izvērtēt prasību par 90 procentiem, kas apliecina, ka mācību kurss ir apgūts, ja “pārbaudes darbā pareizi atbildēti vismaz 90 procenti no kopējā jautājumu skaita”. Pareizo atbilžu procentuālais lielums ir jāvērtē kontekstā ar kopējo pārbaudes jautājumu skaitu. Šobrīd noteikumu projekta redakcija nav viennozīmīgi saprotama un tas nav paskaidrots anotācijā.</w:t>
            </w:r>
            <w:r>
              <w:br/>
              <w:t>Prasībām ir jābūt skaidrām. Tāpēc, nosakot šādas prasības noteikumu projektā, anotācijā, ir jāpaskaidro, kāds tad ir pārbaudes jautājumu k</w:t>
            </w:r>
            <w:r>
              <w:t>opējais skaits un cik procenti pareizo atbilžu jāizpilda, lai mācību kursu uzskatītu par apgūtu. Tapāt anotācijā ir jāpaskaidro, kāds pamatojums ir noteiktajai prasībai par 90% pareizām atbildēm, vai tā ir vispār pieņemta labā prakse zināšanu novērtēšanā vai arī kāds cits pamatojums.</w:t>
            </w:r>
            <w:r>
              <w:br/>
              <w:t xml:space="preserve">3) Vēršam uzmanību, ka piedāvātā </w:t>
            </w:r>
            <w:r>
              <w:lastRenderedPageBreak/>
              <w:t>noteikumu redakcija radīs administratīvo slogu, jo jārēķinās, ka nepieciešams novērtēt papildu darba apjoma pieaugumu par pārbaudes jautājumu sagatavošanu un arī regulāru jautājumu atjaunošanu (</w:t>
            </w:r>
            <w:r>
              <w:t>mainīšanu), lai novērstu sagatavoto jautājumu noplūšanu.</w:t>
            </w:r>
            <w:r>
              <w:br/>
            </w:r>
          </w:p>
        </w:tc>
        <w:tc>
          <w:tcPr>
            <w:tcW w:w="1650" w:type="dxa"/>
            <w:shd w:val="clear" w:color="auto" w:fill="FFFFFF"/>
            <w:noWrap/>
            <w:tcMar>
              <w:top w:w="75" w:type="dxa"/>
              <w:left w:w="75" w:type="dxa"/>
              <w:bottom w:w="75" w:type="dxa"/>
              <w:right w:w="75" w:type="dxa"/>
            </w:tcMar>
            <w:vAlign w:val="center"/>
          </w:tcPr>
          <w:p w14:paraId="5F69A3B8" w14:textId="75B28F95" w:rsidR="00D02C10" w:rsidRDefault="00FD70BC">
            <w:pPr>
              <w:jc w:val="left"/>
            </w:pPr>
            <w:r>
              <w:lastRenderedPageBreak/>
              <w:t>Ņemts vērā</w:t>
            </w:r>
          </w:p>
        </w:tc>
        <w:tc>
          <w:tcPr>
            <w:tcW w:w="4056" w:type="dxa"/>
            <w:shd w:val="clear" w:color="auto" w:fill="FFFFFF"/>
            <w:noWrap/>
            <w:tcMar>
              <w:top w:w="75" w:type="dxa"/>
              <w:left w:w="75" w:type="dxa"/>
              <w:bottom w:w="75" w:type="dxa"/>
              <w:right w:w="75" w:type="dxa"/>
            </w:tcMar>
            <w:vAlign w:val="center"/>
          </w:tcPr>
          <w:p w14:paraId="72BABE21" w14:textId="09197676" w:rsidR="00D02C10" w:rsidRDefault="00FD70BC">
            <w:pPr>
              <w:jc w:val="left"/>
            </w:pPr>
            <w:r>
              <w:t>Samazināts jautājumu skaits un rakstveida pārbaudījuma sekmīgai nokārtošanai nepieciešamie procenti. Papildināta anotācija.</w:t>
            </w:r>
          </w:p>
        </w:tc>
      </w:tr>
    </w:tbl>
    <w:p w14:paraId="4EE047C1" w14:textId="77777777" w:rsidR="00D02C10" w:rsidRDefault="00D02C10"/>
    <w:tbl>
      <w:tblPr>
        <w:tblStyle w:val="a"/>
        <w:tblW w:w="14567" w:type="dxa"/>
        <w:tblLayout w:type="fixed"/>
        <w:tblLook w:val="0600" w:firstRow="0" w:lastRow="0" w:firstColumn="0" w:lastColumn="0" w:noHBand="1" w:noVBand="1"/>
      </w:tblPr>
      <w:tblGrid>
        <w:gridCol w:w="4855"/>
        <w:gridCol w:w="4856"/>
        <w:gridCol w:w="4856"/>
      </w:tblGrid>
      <w:tr w:rsidR="00D02C10" w14:paraId="29494B80" w14:textId="77777777">
        <w:tc>
          <w:tcPr>
            <w:tcW w:w="4855" w:type="dxa"/>
            <w:shd w:val="clear" w:color="auto" w:fill="FFFFFF"/>
            <w:noWrap/>
            <w:tcMar>
              <w:top w:w="75" w:type="dxa"/>
              <w:left w:w="75" w:type="dxa"/>
              <w:bottom w:w="75" w:type="dxa"/>
              <w:right w:w="75" w:type="dxa"/>
            </w:tcMar>
            <w:vAlign w:val="center"/>
          </w:tcPr>
          <w:p w14:paraId="0D2D9D78" w14:textId="77777777" w:rsidR="00D02C10" w:rsidRDefault="00A344CF">
            <w:pPr>
              <w:jc w:val="left"/>
            </w:pPr>
            <w:r>
              <w:t>Datums**</w:t>
            </w:r>
          </w:p>
        </w:tc>
        <w:tc>
          <w:tcPr>
            <w:tcW w:w="4856" w:type="dxa"/>
            <w:shd w:val="clear" w:color="auto" w:fill="FFFFFF"/>
            <w:noWrap/>
            <w:tcMar>
              <w:top w:w="75" w:type="dxa"/>
              <w:left w:w="75" w:type="dxa"/>
              <w:bottom w:w="75" w:type="dxa"/>
              <w:right w:w="75" w:type="dxa"/>
            </w:tcMar>
            <w:vAlign w:val="center"/>
          </w:tcPr>
          <w:p w14:paraId="29FEC82E" w14:textId="77777777" w:rsidR="00D02C10" w:rsidRDefault="00D02C10">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2E526068" w14:textId="77777777" w:rsidR="00D02C10" w:rsidRDefault="00D02C10"/>
        </w:tc>
      </w:tr>
      <w:tr w:rsidR="00D02C10" w14:paraId="130EC2F5" w14:textId="77777777">
        <w:tc>
          <w:tcPr>
            <w:tcW w:w="4855" w:type="dxa"/>
            <w:shd w:val="clear" w:color="auto" w:fill="FFFFFF"/>
            <w:noWrap/>
            <w:tcMar>
              <w:top w:w="75" w:type="dxa"/>
              <w:left w:w="75" w:type="dxa"/>
              <w:bottom w:w="75" w:type="dxa"/>
              <w:right w:w="75" w:type="dxa"/>
            </w:tcMar>
            <w:vAlign w:val="center"/>
          </w:tcPr>
          <w:p w14:paraId="7BE23F8B" w14:textId="77777777" w:rsidR="00D02C10" w:rsidRDefault="00D02C10"/>
        </w:tc>
        <w:tc>
          <w:tcPr>
            <w:tcW w:w="4856" w:type="dxa"/>
            <w:shd w:val="clear" w:color="auto" w:fill="FFFFFF"/>
            <w:noWrap/>
            <w:tcMar>
              <w:top w:w="75" w:type="dxa"/>
              <w:left w:w="75" w:type="dxa"/>
              <w:bottom w:w="75" w:type="dxa"/>
              <w:right w:w="75" w:type="dxa"/>
            </w:tcMar>
            <w:vAlign w:val="center"/>
          </w:tcPr>
          <w:p w14:paraId="31ACB3BA" w14:textId="77777777" w:rsidR="00D02C10" w:rsidRDefault="00A344CF">
            <w:pPr>
              <w:jc w:val="center"/>
            </w:pPr>
            <w:r>
              <w:t>(</w:t>
            </w:r>
            <w:proofErr w:type="spellStart"/>
            <w:r>
              <w:t>dd.mm.gggg</w:t>
            </w:r>
            <w:proofErr w:type="spellEnd"/>
            <w:r>
              <w:t>)</w:t>
            </w:r>
          </w:p>
        </w:tc>
        <w:tc>
          <w:tcPr>
            <w:tcW w:w="4856" w:type="dxa"/>
            <w:shd w:val="clear" w:color="auto" w:fill="FFFFFF"/>
            <w:noWrap/>
            <w:tcMar>
              <w:top w:w="75" w:type="dxa"/>
              <w:left w:w="75" w:type="dxa"/>
              <w:bottom w:w="75" w:type="dxa"/>
              <w:right w:w="75" w:type="dxa"/>
            </w:tcMar>
            <w:vAlign w:val="center"/>
          </w:tcPr>
          <w:p w14:paraId="4977C6B4" w14:textId="77777777" w:rsidR="00D02C10" w:rsidRDefault="00D02C10"/>
        </w:tc>
      </w:tr>
      <w:tr w:rsidR="00D02C10" w14:paraId="0472266E" w14:textId="77777777">
        <w:tc>
          <w:tcPr>
            <w:tcW w:w="4855" w:type="dxa"/>
            <w:shd w:val="clear" w:color="auto" w:fill="FFFFFF"/>
            <w:noWrap/>
            <w:tcMar>
              <w:top w:w="75" w:type="dxa"/>
              <w:left w:w="75" w:type="dxa"/>
              <w:bottom w:w="75" w:type="dxa"/>
              <w:right w:w="75" w:type="dxa"/>
            </w:tcMar>
            <w:vAlign w:val="center"/>
          </w:tcPr>
          <w:p w14:paraId="3859E322" w14:textId="77777777" w:rsidR="00D02C10" w:rsidRDefault="00A344CF">
            <w:pPr>
              <w:jc w:val="left"/>
            </w:pPr>
            <w:r>
              <w:t>Atbildīgā persona</w:t>
            </w:r>
          </w:p>
        </w:tc>
        <w:tc>
          <w:tcPr>
            <w:tcW w:w="4856" w:type="dxa"/>
            <w:shd w:val="clear" w:color="auto" w:fill="FFFFFF"/>
            <w:noWrap/>
            <w:tcMar>
              <w:top w:w="75" w:type="dxa"/>
              <w:left w:w="75" w:type="dxa"/>
              <w:bottom w:w="75" w:type="dxa"/>
              <w:right w:w="75" w:type="dxa"/>
            </w:tcMar>
            <w:vAlign w:val="center"/>
          </w:tcPr>
          <w:p w14:paraId="6B6B56AE" w14:textId="77777777" w:rsidR="00D02C10" w:rsidRDefault="00D02C10">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0FE94E6B" w14:textId="77777777" w:rsidR="00D02C10" w:rsidRDefault="00D02C10"/>
        </w:tc>
      </w:tr>
      <w:tr w:rsidR="00D02C10" w14:paraId="66D88F3F" w14:textId="77777777">
        <w:tc>
          <w:tcPr>
            <w:tcW w:w="4855" w:type="dxa"/>
            <w:shd w:val="clear" w:color="auto" w:fill="FFFFFF"/>
            <w:noWrap/>
            <w:tcMar>
              <w:top w:w="75" w:type="dxa"/>
              <w:left w:w="75" w:type="dxa"/>
              <w:bottom w:w="75" w:type="dxa"/>
              <w:right w:w="75" w:type="dxa"/>
            </w:tcMar>
            <w:vAlign w:val="center"/>
          </w:tcPr>
          <w:p w14:paraId="2A390F59" w14:textId="77777777" w:rsidR="00D02C10" w:rsidRDefault="00D02C10"/>
        </w:tc>
        <w:tc>
          <w:tcPr>
            <w:tcW w:w="4856" w:type="dxa"/>
            <w:shd w:val="clear" w:color="auto" w:fill="FFFFFF"/>
            <w:noWrap/>
            <w:tcMar>
              <w:top w:w="75" w:type="dxa"/>
              <w:left w:w="75" w:type="dxa"/>
              <w:bottom w:w="75" w:type="dxa"/>
              <w:right w:w="75" w:type="dxa"/>
            </w:tcMar>
            <w:vAlign w:val="center"/>
          </w:tcPr>
          <w:p w14:paraId="6A0E8473" w14:textId="77777777" w:rsidR="00D02C10" w:rsidRDefault="00A344CF">
            <w:pPr>
              <w:jc w:val="center"/>
            </w:pPr>
            <w:r>
              <w:t>(vārds, uzvārds, paraksts**)</w:t>
            </w:r>
          </w:p>
        </w:tc>
        <w:tc>
          <w:tcPr>
            <w:tcW w:w="4856" w:type="dxa"/>
            <w:shd w:val="clear" w:color="auto" w:fill="FFFFFF"/>
            <w:noWrap/>
            <w:tcMar>
              <w:top w:w="75" w:type="dxa"/>
              <w:left w:w="75" w:type="dxa"/>
              <w:bottom w:w="75" w:type="dxa"/>
              <w:right w:w="75" w:type="dxa"/>
            </w:tcMar>
            <w:vAlign w:val="center"/>
          </w:tcPr>
          <w:p w14:paraId="49FC15AE" w14:textId="77777777" w:rsidR="00D02C10" w:rsidRDefault="00D02C10"/>
        </w:tc>
      </w:tr>
    </w:tbl>
    <w:p w14:paraId="1CFC5854" w14:textId="77777777" w:rsidR="00D02C10" w:rsidRDefault="00D02C10"/>
    <w:p w14:paraId="17D54C56" w14:textId="77777777" w:rsidR="00D02C10" w:rsidRDefault="00A344CF">
      <w:r>
        <w:t>Piezīmes.</w:t>
      </w:r>
    </w:p>
    <w:p w14:paraId="6CDE2D19" w14:textId="77777777" w:rsidR="00D02C10" w:rsidRDefault="00A344CF">
      <w:r>
        <w:t xml:space="preserve">* Iesniedzējs (fiziskai personai – vārds, uzvārds, juridiskai personai – nosaukums) var tikt publiskots, ja </w:t>
      </w:r>
      <w:r>
        <w:t>viņš tam ir piekritis. Ja attiecināms, iesniedzējs norāda interešu pārstāvja reģistrācijas numuru.</w:t>
      </w:r>
    </w:p>
    <w:p w14:paraId="2274F838" w14:textId="77777777" w:rsidR="00D02C10" w:rsidRDefault="00A344CF">
      <w:r>
        <w:t>** Dokumenta rekvizītus "datums" un "paraksts" neaizpilda, ja elektroniskais dokuments ir sagatavots atbilstoši normatīvajiem aktiem par elektronisko dokumentu noformēšanu.</w:t>
      </w:r>
    </w:p>
    <w:sectPr w:rsidR="00D02C10">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64321B" w14:textId="77777777" w:rsidR="00DE4224" w:rsidRDefault="00DE4224">
      <w:r>
        <w:separator/>
      </w:r>
    </w:p>
  </w:endnote>
  <w:endnote w:type="continuationSeparator" w:id="0">
    <w:p w14:paraId="6C53DA8F" w14:textId="77777777" w:rsidR="00DE4224" w:rsidRDefault="00DE4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242A4" w14:textId="77777777" w:rsidR="00D02C10" w:rsidRDefault="00A344CF">
    <w:pPr>
      <w:jc w:val="right"/>
    </w:pPr>
    <w:r>
      <w:rPr>
        <w:sz w:val="24"/>
        <w:szCs w:val="24"/>
      </w:rPr>
      <w:fldChar w:fldCharType="begin"/>
    </w:r>
    <w:r>
      <w:rPr>
        <w:sz w:val="24"/>
        <w:szCs w:val="24"/>
      </w:rPr>
      <w:instrText>PAGE</w:instrText>
    </w:r>
    <w:r>
      <w:rPr>
        <w:sz w:val="24"/>
        <w:szCs w:val="24"/>
      </w:rPr>
      <w:fldChar w:fldCharType="separate"/>
    </w:r>
    <w:r w:rsidR="00296077">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1AB46" w14:textId="77777777" w:rsidR="00554F18" w:rsidRDefault="00A344CF">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7DD16" w14:textId="77777777" w:rsidR="00DE4224" w:rsidRDefault="00DE4224">
      <w:r>
        <w:separator/>
      </w:r>
    </w:p>
  </w:footnote>
  <w:footnote w:type="continuationSeparator" w:id="0">
    <w:p w14:paraId="517A6D81" w14:textId="77777777" w:rsidR="00DE4224" w:rsidRDefault="00DE42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84D5C" w14:textId="77777777" w:rsidR="00D02C10" w:rsidRDefault="00A344CF">
    <w:pPr>
      <w:pStyle w:val="Header"/>
      <w:contextualSpacing w:val="0"/>
    </w:pPr>
    <w:r>
      <w:t>Viedokļu pārskats 24-TA-2670</w:t>
    </w:r>
    <w:r>
      <w:br/>
      <w:t>Izdrukāts 20.01.2025. 11.15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30B60" w14:textId="77777777" w:rsidR="00D02C10" w:rsidRDefault="00A344CF">
    <w:pPr>
      <w:pStyle w:val="Header"/>
      <w:contextualSpacing w:val="0"/>
    </w:pPr>
    <w:r>
      <w:t>Viedokļu pārskats 24-TA-2670</w:t>
    </w:r>
    <w:r>
      <w:br/>
      <w:t>Izdrukāts 20.01.2025. 11.15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C10"/>
    <w:rsid w:val="00296077"/>
    <w:rsid w:val="00445933"/>
    <w:rsid w:val="00554F18"/>
    <w:rsid w:val="00774863"/>
    <w:rsid w:val="008B283C"/>
    <w:rsid w:val="00A23812"/>
    <w:rsid w:val="00A344CF"/>
    <w:rsid w:val="00A41462"/>
    <w:rsid w:val="00AA26F0"/>
    <w:rsid w:val="00C93EA0"/>
    <w:rsid w:val="00D02C10"/>
    <w:rsid w:val="00DE4224"/>
    <w:rsid w:val="00EA55DD"/>
    <w:rsid w:val="00FD70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37861"/>
  <w15:docId w15:val="{EE9DF363-CD13-4FB9-A07A-1195CB93A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6495</Words>
  <Characters>3703</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viedoklu_parskats_24-TA-2670.docx</vt:lpstr>
    </vt:vector>
  </TitlesOfParts>
  <Company>Zemkopības Ministrija</Company>
  <LinksUpToDate>false</LinksUpToDate>
  <CharactersWithSpaces>10178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viedoklu_parskats_24-TA-2670.docx</dc:title>
  <dc:creator>Irita Lāce</dc:creator>
  <cp:lastModifiedBy>Irita Lāce</cp:lastModifiedBy>
  <cp:revision>2</cp:revision>
  <dcterms:created xsi:type="dcterms:W3CDTF">2025-02-05T12:54:00Z</dcterms:created>
  <dcterms:modified xsi:type="dcterms:W3CDTF">2025-02-05T12:54:00Z</dcterms:modified>
</cp:coreProperties>
</file>