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FF99B0" w14:textId="77777777" w:rsidR="00F3381C" w:rsidRDefault="0083557A">
      <w:pPr>
        <w:spacing w:after="240"/>
        <w:jc w:val="center"/>
        <w:rPr>
          <w:b/>
        </w:rPr>
      </w:pPr>
      <w:r>
        <w:rPr>
          <w:b/>
        </w:rPr>
        <w:t>“Publiskās apspriešanas laikā 30.09.2025. - 14.10.2025. saņemto viedokļu, priekšlikumu un iebildumu apkopojums par Likumprojekts &amp;</w:t>
      </w:r>
      <w:proofErr w:type="spellStart"/>
      <w:r>
        <w:rPr>
          <w:b/>
        </w:rPr>
        <w:t>quot;Grozījumi</w:t>
      </w:r>
      <w:proofErr w:type="spellEnd"/>
      <w:r>
        <w:rPr>
          <w:b/>
        </w:rPr>
        <w:t xml:space="preserve"> </w:t>
      </w:r>
      <w:proofErr w:type="spellStart"/>
      <w:r>
        <w:rPr>
          <w:b/>
        </w:rPr>
        <w:t>Krimināllikumā&amp;quot</w:t>
      </w:r>
      <w:proofErr w:type="spellEnd"/>
      <w:r>
        <w:rPr>
          <w:b/>
        </w:rPr>
        <w:t>;”</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F3381C" w14:paraId="33F1BC23" w14:textId="77777777">
        <w:tc>
          <w:tcPr>
            <w:tcW w:w="750" w:type="dxa"/>
            <w:shd w:val="clear" w:color="auto" w:fill="FFFFFF"/>
            <w:noWrap/>
            <w:tcMar>
              <w:top w:w="75" w:type="dxa"/>
              <w:left w:w="75" w:type="dxa"/>
              <w:bottom w:w="75" w:type="dxa"/>
              <w:right w:w="75" w:type="dxa"/>
            </w:tcMar>
            <w:vAlign w:val="center"/>
          </w:tcPr>
          <w:p w14:paraId="5BB7BFA4" w14:textId="77777777" w:rsidR="00F3381C" w:rsidRDefault="0083557A">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33FD417" w14:textId="77777777" w:rsidR="00F3381C" w:rsidRDefault="0083557A">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2B84435" w14:textId="77777777" w:rsidR="00F3381C" w:rsidRDefault="0083557A">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21D7487" w14:textId="77777777" w:rsidR="00F3381C" w:rsidRDefault="0083557A">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F0C3FA1" w14:textId="77777777" w:rsidR="00F3381C" w:rsidRDefault="0083557A">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F3381C" w14:paraId="32016106" w14:textId="77777777">
        <w:tc>
          <w:tcPr>
            <w:tcW w:w="750" w:type="dxa"/>
            <w:shd w:val="clear" w:color="auto" w:fill="FFFFFF"/>
            <w:noWrap/>
            <w:tcMar>
              <w:top w:w="75" w:type="dxa"/>
              <w:left w:w="75" w:type="dxa"/>
              <w:bottom w:w="75" w:type="dxa"/>
              <w:right w:w="75" w:type="dxa"/>
            </w:tcMar>
            <w:vAlign w:val="center"/>
          </w:tcPr>
          <w:p w14:paraId="5BCB4A7A" w14:textId="77777777" w:rsidR="00F3381C" w:rsidRDefault="0083557A">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20F51A44" w14:textId="77777777" w:rsidR="00F3381C" w:rsidRDefault="0083557A">
            <w:pPr>
              <w:spacing w:line="240" w:lineRule="auto"/>
              <w:jc w:val="left"/>
            </w:pPr>
            <w:r>
              <w:t>Nodibinājums "Latvijas Dabas fonds"</w:t>
            </w:r>
          </w:p>
        </w:tc>
        <w:tc>
          <w:tcPr>
            <w:tcW w:w="4056" w:type="dxa"/>
            <w:shd w:val="clear" w:color="auto" w:fill="FFFFFF"/>
            <w:noWrap/>
            <w:tcMar>
              <w:top w:w="75" w:type="dxa"/>
              <w:left w:w="75" w:type="dxa"/>
              <w:bottom w:w="75" w:type="dxa"/>
              <w:right w:w="75" w:type="dxa"/>
            </w:tcMar>
            <w:vAlign w:val="center"/>
          </w:tcPr>
          <w:p w14:paraId="75FD646A" w14:textId="77777777" w:rsidR="00F3381C" w:rsidRDefault="0083557A">
            <w:pPr>
              <w:spacing w:line="240" w:lineRule="auto"/>
              <w:jc w:val="left"/>
            </w:pPr>
            <w:r>
              <w:t>Ierosinām 106. pantu, kas attiecas uz datu slēpšanu par vides piesārņojumu, papildināt, to attiecinot arī uz datu slēpšanu par vides kaitējumu. Kā tiek skatīts arī citos pantos, kas tostarp šajā likumprojektā tiek grozīti, būtiskas ietekmes uz vidi izpaužas ne tikai caur piesārņojumu. Datu pieejamība ir būtiska ietekmju mazināšanai. To slēpšanai ir jābūt noteiktām sekām arī vides vērtībām nodarīta kaitējuma, ne tikai piesārņojuma, gadījumā.</w:t>
            </w:r>
            <w:r>
              <w:br/>
              <w:t xml:space="preserve">Attiecībā uz aizsargājamu vides vērtību efektīvu aizsardzību vēršam uzmanību, ka </w:t>
            </w:r>
            <w:r>
              <w:lastRenderedPageBreak/>
              <w:t>krimināllikuma un citu normu izpratnē, Eiropas Savienības nozīmes biotopi, kas ir ar lielu, arī starptautisku vērtību, nav aizsargāti. Lūdzam Tieslietu ministriju skatīt veidus, kā to risināt, piemēram, 114. pantā iekļaujot arī Eiropas Savienības nozīmes biotopus.</w:t>
            </w:r>
          </w:p>
        </w:tc>
        <w:tc>
          <w:tcPr>
            <w:tcW w:w="1650" w:type="dxa"/>
            <w:shd w:val="clear" w:color="auto" w:fill="FFFFFF"/>
            <w:noWrap/>
            <w:tcMar>
              <w:top w:w="75" w:type="dxa"/>
              <w:left w:w="75" w:type="dxa"/>
              <w:bottom w:w="75" w:type="dxa"/>
              <w:right w:w="75" w:type="dxa"/>
            </w:tcMar>
            <w:vAlign w:val="center"/>
          </w:tcPr>
          <w:p w14:paraId="15021BD0" w14:textId="4C2D7180" w:rsidR="00F3381C" w:rsidRDefault="00EB2DB8">
            <w:pPr>
              <w:spacing w:line="240" w:lineRule="auto"/>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6BF32567" w14:textId="0978FAFF" w:rsidR="00814F2B" w:rsidRDefault="0083557A" w:rsidP="003D78AB">
            <w:pPr>
              <w:spacing w:line="240" w:lineRule="auto"/>
            </w:pPr>
            <w:r>
              <w:t xml:space="preserve">Krimināllikuma </w:t>
            </w:r>
            <w:r w:rsidR="00EB2DB8">
              <w:t xml:space="preserve">106. pants paredz kriminālatbildību par datu slēpšanu par vides piesārņojumu. </w:t>
            </w:r>
            <w:r w:rsidR="00911F3E">
              <w:t xml:space="preserve">Panta pirmajā daļā paredzētais noziedzīgais nodarījums izpaužas kā neziņošana par jūras ūdeņu piesārņošanu vai citādu kaitīgu iedarbību </w:t>
            </w:r>
            <w:r w:rsidR="00AF0116">
              <w:t xml:space="preserve">no </w:t>
            </w:r>
            <w:r w:rsidR="00911F3E">
              <w:t xml:space="preserve">transportlīdzekļiem vai būvēm jūrā, ja to izdarījusi persona, kurai bija pienākums par to ziņot. </w:t>
            </w:r>
            <w:r w:rsidR="003D78AB">
              <w:t xml:space="preserve">Toties panta otrajā daļā paredzētais noziedzīgais nodarījums izpaužas kā dabas vides piesārņojuma apjoma </w:t>
            </w:r>
            <w:r w:rsidR="00814F2B">
              <w:t>datu tīš</w:t>
            </w:r>
            <w:r w:rsidR="00AA34B2">
              <w:t>a</w:t>
            </w:r>
            <w:r w:rsidR="00814F2B">
              <w:t xml:space="preserve"> slēpšana vai sagrozīšana, ar nosacījumu, ka to izdarījusi persona, kurai bija pienākums šos </w:t>
            </w:r>
            <w:r w:rsidR="00814F2B">
              <w:lastRenderedPageBreak/>
              <w:t xml:space="preserve">datus sniegt, un ja tā rezultātā radīts būtisks kaitējums. Likuma “Par piesārņojumu” pirmā panta pirmās daļas 7. punkts noteic, ka </w:t>
            </w:r>
            <w:r w:rsidR="00814F2B" w:rsidRPr="00814F2B">
              <w:t>piesārņojums </w:t>
            </w:r>
            <w:r w:rsidR="00814F2B">
              <w:t>ir</w:t>
            </w:r>
            <w:r w:rsidR="00814F2B" w:rsidRPr="00814F2B">
              <w:t xml:space="preserve"> cilvēka rīcības izraisīta vielu, vibrācijas, siltuma vai trokšņa tieša vai netieša novadīšana gaisā, ūdenī vai zemē, kam var būt kaitīga ietekme uz cilvēku veselību vai vidi un kas var radīt kaitējumu īpašumam vai ietekmēt dabas resursu izmantošanu un cita veida likumīgu vides izmantošanu</w:t>
            </w:r>
            <w:r w:rsidR="00814F2B">
              <w:t xml:space="preserve">. </w:t>
            </w:r>
            <w:r w:rsidR="00AA34B2">
              <w:t>Līdz ar to saprotams, ka ar piesārņojumu dabas videi tiek nodarīts kaitējums</w:t>
            </w:r>
            <w:r w:rsidR="00AF0116">
              <w:t>.</w:t>
            </w:r>
            <w:r w:rsidR="005849F6">
              <w:t xml:space="preserve"> </w:t>
            </w:r>
            <w:r w:rsidR="00AA34B2">
              <w:t>Tātad kaitējuma radīšana videi tiek ietverta caur jēdzienu “piesārņojums”.</w:t>
            </w:r>
            <w:r w:rsidR="00AF0116">
              <w:t xml:space="preserve"> Proti, tādējādi datu slēpšana par videi nodarīto kaitējumu jau aptveras ar KL 106.panta otro daļu. </w:t>
            </w:r>
            <w:r w:rsidR="00AA34B2">
              <w:t xml:space="preserve"> Vienlaikus norādām, ka panta otrās daļas redakcija, ar nelielām izmaiņām, taču saglabājot tās mērķi, ir spēkā jau kopā Krimināllikuma pamata redakcijas izveidošanas. Norādām, </w:t>
            </w:r>
            <w:r w:rsidR="00AA34B2">
              <w:lastRenderedPageBreak/>
              <w:t xml:space="preserve">ka šobrīd normu piemērotāji nav norādījuši uz panta piemērošanas </w:t>
            </w:r>
            <w:proofErr w:type="spellStart"/>
            <w:r w:rsidR="00AA34B2">
              <w:t>neatbilsībām</w:t>
            </w:r>
            <w:proofErr w:type="spellEnd"/>
            <w:r w:rsidR="00AA34B2">
              <w:t xml:space="preserve"> vai problemātiku. </w:t>
            </w:r>
          </w:p>
          <w:p w14:paraId="33649CF5" w14:textId="77777777" w:rsidR="00AA34B2" w:rsidRDefault="00AA34B2" w:rsidP="003D78AB">
            <w:pPr>
              <w:spacing w:line="240" w:lineRule="auto"/>
            </w:pPr>
          </w:p>
          <w:p w14:paraId="5985C0FF" w14:textId="77777777" w:rsidR="00AA34B2" w:rsidRDefault="00AA34B2" w:rsidP="003D78AB">
            <w:pPr>
              <w:spacing w:line="240" w:lineRule="auto"/>
            </w:pPr>
          </w:p>
          <w:p w14:paraId="0863512C" w14:textId="33B244CB" w:rsidR="00814F2B" w:rsidRDefault="00AA34B2" w:rsidP="003D78AB">
            <w:pPr>
              <w:spacing w:line="240" w:lineRule="auto"/>
            </w:pPr>
            <w:r>
              <w:t>Krimināllikuma 114. pant</w:t>
            </w:r>
            <w:r w:rsidR="006A2589">
              <w:t>s</w:t>
            </w:r>
            <w:r>
              <w:t xml:space="preserve"> paredz atbildību par īpaši </w:t>
            </w:r>
            <w:r w:rsidRPr="00AA34B2">
              <w:t> aizsargājamo dabas teritoriju iznīcināšanu vai bojāšanu, ja ar to radīts būtisks kaitējums</w:t>
            </w:r>
            <w:r>
              <w:t xml:space="preserve">. Šis noziegums apdraud valsts īpaši aizsargājamo dabas teritoriju saglabāšanu. </w:t>
            </w:r>
            <w:r w:rsidR="00C70EC5">
              <w:t xml:space="preserve">Īpaši aizsargājamās teritorijas ir ģeogrāfiski noteiktas platības, kas atrodas valsts īpašā aizsardzībā saskaņā ar kompetentu valsts varas un pārvaldes institūciju lēmumu un tiek izveidotas, aizsargātas un apsaimniekotas nolūkā aizsargāt un saglabāt dabas daudzveidību, tas ir, retas un tipiskas dabas ekosistēmas, aizsargājamo sugu dzīves vidi, savdabīgas, skaistas un Latvijai raksturīgas ainavas, ģeoloģiskos un </w:t>
            </w:r>
            <w:proofErr w:type="spellStart"/>
            <w:r w:rsidR="00C70EC5">
              <w:t>ģeomorfoloģiskos</w:t>
            </w:r>
            <w:proofErr w:type="spellEnd"/>
            <w:r w:rsidR="00C70EC5">
              <w:t xml:space="preserve"> veidojumus, u.c. Ar apdraudējuma priekšmetiem saprotami: dabas </w:t>
            </w:r>
            <w:r w:rsidR="00C70EC5">
              <w:lastRenderedPageBreak/>
              <w:t xml:space="preserve">rezervāti, nacionālie parki, biosfēras rezervāti, dabas parki, dabas pieminekļi, dabas liegumi, aizsargājamās jūras teritorijas un aizsargājamo ainavu apvidi. </w:t>
            </w:r>
            <w:r w:rsidR="006A2589">
              <w:t xml:space="preserve">Līdz ar to Krimināllikuma 114. pants tieši aizsargā </w:t>
            </w:r>
            <w:r w:rsidR="009E2CA1">
              <w:t xml:space="preserve">valsts īpaši aizsargājamās teritorijas. </w:t>
            </w:r>
          </w:p>
          <w:p w14:paraId="5302FB28" w14:textId="77777777" w:rsidR="009E2CA1" w:rsidRDefault="009E2CA1" w:rsidP="003D78AB">
            <w:pPr>
              <w:spacing w:line="240" w:lineRule="auto"/>
            </w:pPr>
          </w:p>
          <w:p w14:paraId="65FF52C6" w14:textId="4799A095" w:rsidR="009E2CA1" w:rsidRDefault="009E2CA1" w:rsidP="003D78AB">
            <w:pPr>
              <w:spacing w:line="240" w:lineRule="auto"/>
            </w:pPr>
            <w:r>
              <w:t xml:space="preserve">Toties Krimināllikuma 115. pants paredz atbildību par </w:t>
            </w:r>
            <w:r w:rsidRPr="009E2CA1">
              <w:t>īpaši aizsargājamo dzīvnieku ķeršanu, turēšanu vai iznīcināšanu vai par īpaši aizsargājamo augu, sēņu vai ķērpju iegūšanu, turēšanu, bojāšanu vai iznīcināšanu, vai par īpaši aizsargājamo sugu dzīvotnes vai īpaši aizsargājamo biotopu iznīcināšanu vai bojāšanu, ja ar to radīts būtisks kaitējums</w:t>
            </w:r>
            <w:r>
              <w:t xml:space="preserve">. </w:t>
            </w:r>
            <w:r>
              <w:rPr>
                <w:bCs/>
              </w:rPr>
              <w:t xml:space="preserve">Ministru kabineta 14.11.2000. noteikumi Nr. 316 “Noteikumi </w:t>
            </w:r>
            <w:r w:rsidRPr="00131919">
              <w:rPr>
                <w:bCs/>
              </w:rPr>
              <w:t>par īpaši aizsargājamo sugu un ierobežoti izmantojamo īpaši aizsargājamo sugu sarakstu</w:t>
            </w:r>
            <w:r>
              <w:rPr>
                <w:bCs/>
              </w:rPr>
              <w:t xml:space="preserve">” </w:t>
            </w:r>
            <w:r w:rsidRPr="009E2CA1">
              <w:rPr>
                <w:bCs/>
              </w:rPr>
              <w:t xml:space="preserve">nosaka īpaši aizsargājamo sugu sarakstu (1.pielikums) un ierobežoti izmantojamo īpaši aizsargājamo </w:t>
            </w:r>
            <w:r w:rsidRPr="009E2CA1">
              <w:rPr>
                <w:bCs/>
              </w:rPr>
              <w:lastRenderedPageBreak/>
              <w:t>sugu sarakstu (2.pielikums).</w:t>
            </w:r>
            <w:r>
              <w:rPr>
                <w:bCs/>
              </w:rPr>
              <w:t xml:space="preserve"> Norādām, ka </w:t>
            </w:r>
            <w:r w:rsidRPr="00623A72">
              <w:t>Eiropas Parlamenta un Padomes 2024. gada 11. aprīļa direktīvu (ES) 2024/1203, kas paredz noteikumus par vides krimināltiesisko aizsardzību un aizstāj Direktīvas 2008/99/EK un 2009/123/EK</w:t>
            </w:r>
            <w:r>
              <w:rPr>
                <w:bCs/>
              </w:rPr>
              <w:t xml:space="preserve"> IV un V pielikumos esošais (Latvijā sastopamo sugu) uzskaitījums tiek regulēts arī minētajos Ministru kabineta noteikumos. </w:t>
            </w:r>
            <w:r w:rsidR="001C7921">
              <w:rPr>
                <w:bCs/>
              </w:rPr>
              <w:t xml:space="preserve">Papildus tam </w:t>
            </w:r>
            <w:r w:rsidR="00103E7A">
              <w:rPr>
                <w:bCs/>
              </w:rPr>
              <w:t>Ministru kabineta 21.02.2006. noteikumi Nr.153 “</w:t>
            </w:r>
            <w:r w:rsidR="00103E7A" w:rsidRPr="00103E7A">
              <w:rPr>
                <w:bCs/>
              </w:rPr>
              <w:t>Noteikumi par Latvijā sastopamo Eiropas Savienības prioritāro sugu un biotopu sarakstu</w:t>
            </w:r>
            <w:r w:rsidR="00103E7A">
              <w:rPr>
                <w:bCs/>
              </w:rPr>
              <w:t xml:space="preserve">” </w:t>
            </w:r>
            <w:r w:rsidR="00103E7A" w:rsidRPr="00103E7A">
              <w:rPr>
                <w:bCs/>
              </w:rPr>
              <w:t>nosaka Latvijā sastopamo Eiropas Savienības prioritāro sugu un biotopu sarakstu</w:t>
            </w:r>
            <w:r w:rsidR="00103E7A">
              <w:rPr>
                <w:bCs/>
              </w:rPr>
              <w:t>.</w:t>
            </w:r>
            <w:r w:rsidR="00103E7A" w:rsidRPr="00103E7A">
              <w:rPr>
                <w:bCs/>
              </w:rPr>
              <w:t xml:space="preserve"> </w:t>
            </w:r>
            <w:r>
              <w:rPr>
                <w:bCs/>
              </w:rPr>
              <w:t xml:space="preserve">Līdz ar to saprotams, ka </w:t>
            </w:r>
            <w:r w:rsidR="001C7921">
              <w:rPr>
                <w:bCs/>
              </w:rPr>
              <w:t xml:space="preserve">Krimināllikumā aizsargāto sugu un biotopu saraksts ir atbilstošs arī Eiropas Savienībā īpaši aizsargātajām sugām un biotopiem. </w:t>
            </w:r>
            <w:r w:rsidR="002948B3">
              <w:rPr>
                <w:bCs/>
              </w:rPr>
              <w:t xml:space="preserve">Līdz ar to nav nepieciešams Krimināllikuma regulējumu papildināt, iekļaujot Eiropas Savienības biotopus, jo </w:t>
            </w:r>
            <w:r w:rsidR="002948B3">
              <w:rPr>
                <w:bCs/>
              </w:rPr>
              <w:lastRenderedPageBreak/>
              <w:t>tas jau šobrīd tie</w:t>
            </w:r>
            <w:r w:rsidR="00AF0116">
              <w:rPr>
                <w:bCs/>
              </w:rPr>
              <w:t>k</w:t>
            </w:r>
            <w:r w:rsidR="002948B3">
              <w:rPr>
                <w:bCs/>
              </w:rPr>
              <w:t xml:space="preserve"> aizsargāts.</w:t>
            </w:r>
          </w:p>
          <w:p w14:paraId="454DBA32" w14:textId="77777777" w:rsidR="00C70EC5" w:rsidRDefault="00C70EC5" w:rsidP="003D78AB">
            <w:pPr>
              <w:spacing w:line="240" w:lineRule="auto"/>
            </w:pPr>
          </w:p>
          <w:p w14:paraId="0CF1C438" w14:textId="1E1190EA" w:rsidR="00F3381C" w:rsidRDefault="00814F2B" w:rsidP="003D78AB">
            <w:pPr>
              <w:spacing w:line="240" w:lineRule="auto"/>
            </w:pPr>
            <w:r>
              <w:t>Papildus norādām, š</w:t>
            </w:r>
            <w:r w:rsidRPr="00623A72">
              <w:t>is likumprojekts izstrādāts, lai ieviestu Eiropas Parlamenta un Padomes 2024. gada 11. aprīļa direktīvu (ES) 2024/1203, kas paredz noteikumus par vides krimināltiesisko aizsardzību un aizstāj Direktīvas 2008/99/EK un 2009/123/EK</w:t>
            </w:r>
            <w:r>
              <w:t xml:space="preserve">. </w:t>
            </w:r>
          </w:p>
        </w:tc>
      </w:tr>
    </w:tbl>
    <w:p w14:paraId="79F4045C" w14:textId="77777777" w:rsidR="00F3381C" w:rsidRDefault="00F3381C"/>
    <w:tbl>
      <w:tblPr>
        <w:tblStyle w:val="a"/>
        <w:tblW w:w="14567" w:type="dxa"/>
        <w:tblInd w:w="0" w:type="dxa"/>
        <w:tblLayout w:type="fixed"/>
        <w:tblLook w:val="0600" w:firstRow="0" w:lastRow="0" w:firstColumn="0" w:lastColumn="0" w:noHBand="1" w:noVBand="1"/>
      </w:tblPr>
      <w:tblGrid>
        <w:gridCol w:w="4855"/>
        <w:gridCol w:w="4856"/>
        <w:gridCol w:w="4856"/>
      </w:tblGrid>
      <w:tr w:rsidR="00F3381C" w14:paraId="000554F2" w14:textId="77777777">
        <w:tc>
          <w:tcPr>
            <w:tcW w:w="4855" w:type="dxa"/>
            <w:shd w:val="clear" w:color="auto" w:fill="FFFFFF"/>
            <w:noWrap/>
            <w:tcMar>
              <w:top w:w="75" w:type="dxa"/>
              <w:left w:w="75" w:type="dxa"/>
              <w:bottom w:w="75" w:type="dxa"/>
              <w:right w:w="75" w:type="dxa"/>
            </w:tcMar>
            <w:vAlign w:val="center"/>
          </w:tcPr>
          <w:p w14:paraId="21582DD1" w14:textId="77777777" w:rsidR="00F3381C" w:rsidRDefault="0083557A">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4EE27016" w14:textId="77777777" w:rsidR="00F3381C" w:rsidRDefault="00F3381C">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5FF2C891" w14:textId="77777777" w:rsidR="00F3381C" w:rsidRDefault="00F3381C">
            <w:pPr>
              <w:spacing w:line="240" w:lineRule="auto"/>
            </w:pPr>
          </w:p>
        </w:tc>
      </w:tr>
      <w:tr w:rsidR="00F3381C" w14:paraId="6559DCD4" w14:textId="77777777">
        <w:tc>
          <w:tcPr>
            <w:tcW w:w="4855" w:type="dxa"/>
            <w:shd w:val="clear" w:color="auto" w:fill="FFFFFF"/>
            <w:noWrap/>
            <w:tcMar>
              <w:top w:w="75" w:type="dxa"/>
              <w:left w:w="75" w:type="dxa"/>
              <w:bottom w:w="75" w:type="dxa"/>
              <w:right w:w="75" w:type="dxa"/>
            </w:tcMar>
            <w:vAlign w:val="center"/>
          </w:tcPr>
          <w:p w14:paraId="67987B76" w14:textId="77777777" w:rsidR="00F3381C" w:rsidRDefault="00F3381C">
            <w:pPr>
              <w:spacing w:line="240" w:lineRule="auto"/>
            </w:pPr>
          </w:p>
        </w:tc>
        <w:tc>
          <w:tcPr>
            <w:tcW w:w="4856" w:type="dxa"/>
            <w:shd w:val="clear" w:color="auto" w:fill="FFFFFF"/>
            <w:noWrap/>
            <w:tcMar>
              <w:top w:w="75" w:type="dxa"/>
              <w:left w:w="75" w:type="dxa"/>
              <w:bottom w:w="75" w:type="dxa"/>
              <w:right w:w="75" w:type="dxa"/>
            </w:tcMar>
            <w:vAlign w:val="center"/>
          </w:tcPr>
          <w:p w14:paraId="5FC55CDF" w14:textId="77777777" w:rsidR="00F3381C" w:rsidRDefault="0083557A">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188BA25" w14:textId="77777777" w:rsidR="00F3381C" w:rsidRDefault="00F3381C">
            <w:pPr>
              <w:spacing w:line="240" w:lineRule="auto"/>
            </w:pPr>
          </w:p>
        </w:tc>
      </w:tr>
      <w:tr w:rsidR="00F3381C" w14:paraId="3A7C2F39" w14:textId="77777777">
        <w:tc>
          <w:tcPr>
            <w:tcW w:w="4855" w:type="dxa"/>
            <w:shd w:val="clear" w:color="auto" w:fill="FFFFFF"/>
            <w:noWrap/>
            <w:tcMar>
              <w:top w:w="75" w:type="dxa"/>
              <w:left w:w="75" w:type="dxa"/>
              <w:bottom w:w="75" w:type="dxa"/>
              <w:right w:w="75" w:type="dxa"/>
            </w:tcMar>
            <w:vAlign w:val="center"/>
          </w:tcPr>
          <w:p w14:paraId="4379A47B" w14:textId="77777777" w:rsidR="00F3381C" w:rsidRDefault="0083557A">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2CA7D901" w14:textId="77777777" w:rsidR="00F3381C" w:rsidRDefault="00F3381C">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3E3CB86E" w14:textId="77777777" w:rsidR="00F3381C" w:rsidRDefault="00F3381C">
            <w:pPr>
              <w:spacing w:line="240" w:lineRule="auto"/>
            </w:pPr>
          </w:p>
        </w:tc>
      </w:tr>
      <w:tr w:rsidR="00F3381C" w14:paraId="2C332A13" w14:textId="77777777">
        <w:tc>
          <w:tcPr>
            <w:tcW w:w="4855" w:type="dxa"/>
            <w:shd w:val="clear" w:color="auto" w:fill="FFFFFF"/>
            <w:noWrap/>
            <w:tcMar>
              <w:top w:w="75" w:type="dxa"/>
              <w:left w:w="75" w:type="dxa"/>
              <w:bottom w:w="75" w:type="dxa"/>
              <w:right w:w="75" w:type="dxa"/>
            </w:tcMar>
            <w:vAlign w:val="center"/>
          </w:tcPr>
          <w:p w14:paraId="492C80B0" w14:textId="77777777" w:rsidR="00F3381C" w:rsidRDefault="00F3381C">
            <w:pPr>
              <w:spacing w:line="240" w:lineRule="auto"/>
            </w:pPr>
          </w:p>
        </w:tc>
        <w:tc>
          <w:tcPr>
            <w:tcW w:w="4856" w:type="dxa"/>
            <w:shd w:val="clear" w:color="auto" w:fill="FFFFFF"/>
            <w:noWrap/>
            <w:tcMar>
              <w:top w:w="75" w:type="dxa"/>
              <w:left w:w="75" w:type="dxa"/>
              <w:bottom w:w="75" w:type="dxa"/>
              <w:right w:w="75" w:type="dxa"/>
            </w:tcMar>
            <w:vAlign w:val="center"/>
          </w:tcPr>
          <w:p w14:paraId="4B51B7C1" w14:textId="77777777" w:rsidR="00F3381C" w:rsidRDefault="0083557A">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19033C76" w14:textId="77777777" w:rsidR="00F3381C" w:rsidRDefault="00F3381C">
            <w:pPr>
              <w:spacing w:line="240" w:lineRule="auto"/>
            </w:pPr>
          </w:p>
        </w:tc>
      </w:tr>
    </w:tbl>
    <w:p w14:paraId="41E1DF03" w14:textId="77777777" w:rsidR="00F3381C" w:rsidRDefault="00F3381C"/>
    <w:p w14:paraId="11355434" w14:textId="77777777" w:rsidR="00F3381C" w:rsidRDefault="0083557A">
      <w:r>
        <w:t>Piezīmes.</w:t>
      </w:r>
    </w:p>
    <w:p w14:paraId="45EC07C3" w14:textId="77777777" w:rsidR="00F3381C" w:rsidRDefault="0083557A">
      <w:r>
        <w:t>* Iesniedzējs (fiziskai personai – vārds, uzvārds, juridiskai personai – nosaukums) var tikt publiskots, ja viņš tam ir piekritis. Ja attiecināms, iesniedzējs norāda interešu pārstāvja reģistrācijas numuru.</w:t>
      </w:r>
    </w:p>
    <w:p w14:paraId="0AF29883" w14:textId="77777777" w:rsidR="00F3381C" w:rsidRDefault="0083557A">
      <w:r>
        <w:t>** Dokumenta rekvizītus "datums" un "paraksts" neaizpilda, ja elektroniskais dokuments ir sagatavots atbilstoši normatīvajiem aktiem par elektronisko dokumentu noformēšanu.</w:t>
      </w:r>
    </w:p>
    <w:sectPr w:rsidR="00F3381C">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441B" w14:textId="77777777" w:rsidR="00633A2F" w:rsidRDefault="00633A2F">
      <w:r>
        <w:separator/>
      </w:r>
    </w:p>
  </w:endnote>
  <w:endnote w:type="continuationSeparator" w:id="0">
    <w:p w14:paraId="0CE2B5E9" w14:textId="77777777" w:rsidR="00633A2F" w:rsidRDefault="0063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7B55" w14:textId="77777777" w:rsidR="00F3381C" w:rsidRDefault="0083557A">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23C1" w14:textId="77777777" w:rsidR="0083557A" w:rsidRDefault="0083557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ED04" w14:textId="77777777" w:rsidR="00633A2F" w:rsidRDefault="00633A2F">
      <w:r>
        <w:separator/>
      </w:r>
    </w:p>
  </w:footnote>
  <w:footnote w:type="continuationSeparator" w:id="0">
    <w:p w14:paraId="07D108FB" w14:textId="77777777" w:rsidR="00633A2F" w:rsidRDefault="00633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2036" w14:textId="77777777" w:rsidR="00F3381C" w:rsidRDefault="0083557A">
    <w:pPr>
      <w:pStyle w:val="Galvene"/>
      <w:contextualSpacing w:val="0"/>
    </w:pPr>
    <w:r>
      <w:t>Viedokļu pārskats 25-TA-2349</w:t>
    </w:r>
    <w:r>
      <w:br/>
      <w:t>Izdrukāts 28.10.2025. 09.02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AF9F" w14:textId="77777777" w:rsidR="00F3381C" w:rsidRDefault="0083557A">
    <w:pPr>
      <w:pStyle w:val="Galvene"/>
      <w:contextualSpacing w:val="0"/>
    </w:pPr>
    <w:r>
      <w:t>Viedokļu pārskats 25-TA-2349</w:t>
    </w:r>
    <w:r>
      <w:br/>
      <w:t>Izdrukāts 28.10.2025. 09.02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3381C"/>
    <w:rsid w:val="00103E7A"/>
    <w:rsid w:val="001C7921"/>
    <w:rsid w:val="00292B6D"/>
    <w:rsid w:val="002948B3"/>
    <w:rsid w:val="002B5F20"/>
    <w:rsid w:val="00357E1C"/>
    <w:rsid w:val="003D78AB"/>
    <w:rsid w:val="005849F6"/>
    <w:rsid w:val="00633A2F"/>
    <w:rsid w:val="006A2589"/>
    <w:rsid w:val="006D7C2F"/>
    <w:rsid w:val="00814F2B"/>
    <w:rsid w:val="0083557A"/>
    <w:rsid w:val="00911F3E"/>
    <w:rsid w:val="009E2CA1"/>
    <w:rsid w:val="00AA34B2"/>
    <w:rsid w:val="00AC3AF7"/>
    <w:rsid w:val="00AF0116"/>
    <w:rsid w:val="00C70EC5"/>
    <w:rsid w:val="00EB2DB8"/>
    <w:rsid w:val="00F3381C"/>
    <w:rsid w:val="00F504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E4E0"/>
  <w15:docId w15:val="{561DA289-6BD7-4336-AF5D-365EBB4F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1"/>
    <w:tblPr>
      <w:tblStyleRowBandSize w:val="1"/>
      <w:tblStyleColBandSize w:val="1"/>
    </w:tblPr>
  </w:style>
  <w:style w:type="paragraph" w:styleId="Prskatjums">
    <w:name w:val="Revision"/>
    <w:hidden/>
    <w:uiPriority w:val="99"/>
    <w:semiHidden/>
    <w:rsid w:val="00AF011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3825</Words>
  <Characters>2181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viedoklu_parskats_25-TA-2349.docx</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viedoklu_parskats_25-TA-2349.docx</dc:title>
  <cp:lastModifiedBy>Ieva Patrīcija Suseja</cp:lastModifiedBy>
  <cp:revision>6</cp:revision>
  <dcterms:created xsi:type="dcterms:W3CDTF">2025-10-28T13:30:00Z</dcterms:created>
  <dcterms:modified xsi:type="dcterms:W3CDTF">2025-10-30T11:06:00Z</dcterms:modified>
</cp:coreProperties>
</file>