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0F7F" w:rsidRDefault="00F43FDF">
      <w:pPr>
        <w:spacing w:after="240"/>
        <w:jc w:val="center"/>
        <w:rPr>
          <w:b/>
        </w:rPr>
      </w:pPr>
      <w:r>
        <w:rPr>
          <w:b/>
        </w:rPr>
        <w:t>“Publiskās apspriešanas laikā 08.07.2025. - 22.07.2025. saņemto viedokļu, priekšlikumu un iebildumu apkopojums par Grozījums Ministru kabineta 2017. gada 5. decembra noteikumos Nr.</w:t>
      </w:r>
      <w:r w:rsidR="00EA3FEB">
        <w:rPr>
          <w:b/>
        </w:rPr>
        <w:t xml:space="preserve"> </w:t>
      </w:r>
      <w:r>
        <w:rPr>
          <w:b/>
        </w:rPr>
        <w:t>716 "Minimālās prasības obligātā civilās aizsardzības kursa saturam un nodarbināto civilās aizsardzības apmācības saturam"”</w:t>
      </w:r>
    </w:p>
    <w:tbl>
      <w:tblPr>
        <w:tblStyle w:val="a"/>
        <w:tblW w:w="14567"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C50F7F">
        <w:tc>
          <w:tcPr>
            <w:tcW w:w="750" w:type="dxa"/>
            <w:shd w:val="clear" w:color="auto" w:fill="FFFFFF"/>
            <w:noWrap/>
            <w:tcMar>
              <w:top w:w="75" w:type="dxa"/>
              <w:left w:w="75" w:type="dxa"/>
              <w:bottom w:w="75" w:type="dxa"/>
              <w:right w:w="75" w:type="dxa"/>
            </w:tcMar>
            <w:vAlign w:val="center"/>
          </w:tcPr>
          <w:p w:rsidR="00C50F7F" w:rsidRDefault="00F43FDF">
            <w:pPr>
              <w:jc w:val="center"/>
            </w:pPr>
            <w:r>
              <w:rPr>
                <w:b/>
              </w:rPr>
              <w:t>Nr.p.k.</w:t>
            </w:r>
          </w:p>
        </w:tc>
        <w:tc>
          <w:tcPr>
            <w:tcW w:w="4055" w:type="dxa"/>
            <w:shd w:val="clear" w:color="auto" w:fill="FFFFFF"/>
            <w:noWrap/>
            <w:tcMar>
              <w:top w:w="75" w:type="dxa"/>
              <w:left w:w="75" w:type="dxa"/>
              <w:bottom w:w="75" w:type="dxa"/>
              <w:right w:w="75" w:type="dxa"/>
            </w:tcMar>
            <w:vAlign w:val="center"/>
          </w:tcPr>
          <w:p w:rsidR="00C50F7F" w:rsidRDefault="00F43FDF">
            <w:pPr>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rsidR="00C50F7F" w:rsidRDefault="00F43FDF">
            <w:pPr>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rsidR="00C50F7F" w:rsidRDefault="00F43FDF">
            <w:pPr>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rsidR="00C50F7F" w:rsidRDefault="00F43FDF">
            <w:pPr>
              <w:jc w:val="center"/>
            </w:pPr>
            <w:r>
              <w:rPr>
                <w:b/>
              </w:rPr>
              <w:t>Skaidrojums, kādā veidā viedoklis / priekšlikums / iebildums ir ņemts vērā vai ņemts vērā daļēji, vai pamatojums, ja viedoklis / priekšlikums / iebildums nav ņemts vērā</w:t>
            </w:r>
          </w:p>
        </w:tc>
      </w:tr>
      <w:tr w:rsidR="00C50F7F" w:rsidTr="00FE72A8">
        <w:tc>
          <w:tcPr>
            <w:tcW w:w="750" w:type="dxa"/>
            <w:shd w:val="clear" w:color="auto" w:fill="FFFFFF"/>
            <w:noWrap/>
            <w:tcMar>
              <w:top w:w="75" w:type="dxa"/>
              <w:left w:w="75" w:type="dxa"/>
              <w:bottom w:w="75" w:type="dxa"/>
              <w:right w:w="75" w:type="dxa"/>
            </w:tcMar>
            <w:vAlign w:val="center"/>
          </w:tcPr>
          <w:p w:rsidR="00C50F7F" w:rsidRDefault="00F43FDF">
            <w:pPr>
              <w:jc w:val="center"/>
            </w:pPr>
            <w:r>
              <w:t>1.</w:t>
            </w:r>
          </w:p>
        </w:tc>
        <w:tc>
          <w:tcPr>
            <w:tcW w:w="4055" w:type="dxa"/>
            <w:shd w:val="clear" w:color="auto" w:fill="FFFFFF"/>
            <w:noWrap/>
            <w:tcMar>
              <w:top w:w="75" w:type="dxa"/>
              <w:left w:w="75" w:type="dxa"/>
              <w:bottom w:w="75" w:type="dxa"/>
              <w:right w:w="75" w:type="dxa"/>
            </w:tcMar>
            <w:vAlign w:val="center"/>
          </w:tcPr>
          <w:p w:rsidR="00C50F7F" w:rsidRDefault="00F43FDF">
            <w:pPr>
              <w:jc w:val="left"/>
            </w:pPr>
            <w:r>
              <w:t>Latvijas Drošības un aizsardzības industriju federācija, Anete Lūsare</w:t>
            </w:r>
          </w:p>
        </w:tc>
        <w:tc>
          <w:tcPr>
            <w:tcW w:w="4056" w:type="dxa"/>
            <w:shd w:val="clear" w:color="auto" w:fill="FFFFFF"/>
            <w:noWrap/>
            <w:tcMar>
              <w:top w:w="75" w:type="dxa"/>
              <w:left w:w="75" w:type="dxa"/>
              <w:bottom w:w="75" w:type="dxa"/>
              <w:right w:w="75" w:type="dxa"/>
            </w:tcMar>
            <w:vAlign w:val="center"/>
          </w:tcPr>
          <w:p w:rsidR="00C50F7F" w:rsidRDefault="00F43FDF">
            <w:pPr>
              <w:jc w:val="left"/>
            </w:pPr>
            <w:r>
              <w:t>Latvijas Drošības un aizsardzības industriju federācija (turpmāk – DAIF Latvija) augstu novērtē mērķi nodrošināt kvalitatīvu un pilnvērtīgu civilās aizsardzības kursa īstenošanu, tomēr aicina iesaistīt ietekmes puses paplašinātākā diskusijā ne tikai par kursa apjomu, bet arī saturu:</w:t>
            </w:r>
            <w:r>
              <w:br/>
            </w:r>
            <w:r>
              <w:br/>
              <w:t xml:space="preserve">1) MK noteikumu projektā, palielinot tikai kredītpunktu skaitu no “1” uz “2”, pirmšķietami netiks uzlabota/pilnveidota tieši prasmju apguve (arī ar papildus jaunām prasmēm). Ir būtiski nošķirt, kas ir </w:t>
            </w:r>
            <w:r>
              <w:lastRenderedPageBreak/>
              <w:t>zināšanas (teorētiskās) un kas ir prasmes (praktiskās iemaņas). Zināšanām un prasmēm jābalstās riska izvērtējumā un atbilstošu gatavības pasākumu realizācijā.  Jāspēj izstrādāt un ieviest risku novērtējumu un krīžu vadības plānus, atbilstoši starptautiskiem standartiem, lai stiprinātu darbības nepārtrauktību un sadarbspēju ar sabiedrotajiem.</w:t>
            </w:r>
            <w:r>
              <w:br/>
            </w:r>
            <w:r>
              <w:br/>
              <w:t>2) DAIF Latvija ieskatā šādu kursu saturam būtu arī jāatbilst aktuālajai situācijai un pieņemtajiem lēmumiem nacionālā, Eiropas Savienības un NATO līmenī. Attiecīgi, Somijas prezidents Sauli Nīnnisto ziņojumā “Eiropas civilās un militārās sagatavotības un gatavības stiprināšana” ir ietverti šādi aspekti, kuri arī būtu jāintegrē nacionāl līmenī civilās aizsardzības apmācību kursā:</w:t>
            </w:r>
            <w:r>
              <w:br/>
              <w:t xml:space="preserve">2.1.) Pārmaiņas drošības vidē. ES saskaras ar pieaugošiem riskiem, tostarp Krievijas agresiju, klimata </w:t>
            </w:r>
            <w:r>
              <w:lastRenderedPageBreak/>
              <w:t>izraisītiem katastrofu draudiem un hibrīdām kampaņām. Drošības apdraudējumi pieprasa integrētu pieeju, kas ietver gan militāru, gan civilo sagatavotību.</w:t>
            </w:r>
            <w:r>
              <w:br/>
              <w:t>2.2.) Vienota pieeja: ES dalībvalstīm ir kopīgs pienākums nodrošināt savstarpēju palīdzību krīžu laikā. Drošība ir kopējs labums, kas jāstiprina gan individuālā, gan kolektīvā līmenī.</w:t>
            </w:r>
            <w:r>
              <w:br/>
              <w:t>2.3.) Kompleksā sagatavotība. Jāizveido ES mēroga risku novērtējuma sistēma un jāuzlabo krīžu pārvaldības procedūras.</w:t>
            </w:r>
            <w:r>
              <w:br/>
              <w:t>2.4.) Pilsoņu loma. Pilsoņiem jāpaaugstina savu izpratni par riskiem un krīžu pārvaldības pasākumiem.</w:t>
            </w:r>
            <w:r>
              <w:br/>
              <w:t>2.5.) Publiskā un privātā sektora sadarbība. Privātajam sektoram ir būtiska loma drošības nodrošināšanā, īpaši attiecībā uz kritiskajām piegādes ķēdēm un infrastruktūru.</w:t>
            </w:r>
            <w:r>
              <w:br/>
              <w:t xml:space="preserve">2.6.) Hibrīddraudu pārvarēšana. Nepieciešams uzlabot ES spēju reaģēt uz hibrīdajiem </w:t>
            </w:r>
            <w:r>
              <w:lastRenderedPageBreak/>
              <w:t>apdraudējumiem, tostarp kiberuzbrukumiem un dezinformācijas kampaņām.</w:t>
            </w:r>
            <w:r>
              <w:br/>
              <w:t>2.7.) Ekonomiskā drošība. Sagatavotība nākotnes krīzēm prasa ilgtermiņa ieguldījumus, tai skaitā aizsardzības rūpniecības stiprināšanā un stratēģisko rezervju izveidē.</w:t>
            </w:r>
            <w:r>
              <w:br/>
            </w:r>
            <w:r>
              <w:br/>
              <w:t>3) Tā kā MK noteikumu projekts attiecas arī uz darba devējiem, tai skaitā, arī drošības un aizsardzības jomas uzņēmumiem un organizācijām, būtu nepieciešama papildus diskusiju par iekļaujamajām tēmām un aspektiem tieši šādām mācībām, lai nodrošinātu kvalitatīvu apmācību īstenošani atbilstoši riska izvērtējumam un gatavības pasākumu realizācijai.</w:t>
            </w:r>
          </w:p>
        </w:tc>
        <w:tc>
          <w:tcPr>
            <w:tcW w:w="1650" w:type="dxa"/>
            <w:shd w:val="clear" w:color="auto" w:fill="FFFFFF"/>
            <w:noWrap/>
            <w:tcMar>
              <w:top w:w="75" w:type="dxa"/>
              <w:left w:w="75" w:type="dxa"/>
              <w:bottom w:w="75" w:type="dxa"/>
              <w:right w:w="75" w:type="dxa"/>
            </w:tcMar>
            <w:vAlign w:val="center"/>
          </w:tcPr>
          <w:p w:rsidR="00C50F7F" w:rsidRDefault="00C50F7F">
            <w:pPr>
              <w:jc w:val="left"/>
            </w:pPr>
          </w:p>
        </w:tc>
        <w:tc>
          <w:tcPr>
            <w:tcW w:w="4056" w:type="dxa"/>
            <w:shd w:val="clear" w:color="auto" w:fill="FFFFFF"/>
            <w:noWrap/>
            <w:tcMar>
              <w:top w:w="75" w:type="dxa"/>
              <w:left w:w="75" w:type="dxa"/>
              <w:bottom w:w="75" w:type="dxa"/>
              <w:right w:w="75" w:type="dxa"/>
            </w:tcMar>
          </w:tcPr>
          <w:p w:rsidR="00FE72A8" w:rsidRDefault="00F46C7F" w:rsidP="00FE72A8">
            <w:pPr>
              <w:jc w:val="left"/>
            </w:pPr>
            <w:r w:rsidRPr="00F46C7F">
              <w:t>Iebildums nav ņemts vērā, jo tas nav saistīts ar noteikumu grozījuma projekta būtību</w:t>
            </w:r>
            <w:r>
              <w:t>.</w:t>
            </w:r>
          </w:p>
          <w:p w:rsidR="00FE72A8" w:rsidRDefault="00FE72A8" w:rsidP="00FE72A8">
            <w:pPr>
              <w:jc w:val="left"/>
            </w:pPr>
          </w:p>
        </w:tc>
      </w:tr>
    </w:tbl>
    <w:p w:rsidR="00C50F7F" w:rsidRDefault="00C50F7F"/>
    <w:tbl>
      <w:tblPr>
        <w:tblStyle w:val="a"/>
        <w:tblW w:w="14567" w:type="dxa"/>
        <w:tblInd w:w="0" w:type="dxa"/>
        <w:tblLayout w:type="fixed"/>
        <w:tblLook w:val="0600" w:firstRow="0" w:lastRow="0" w:firstColumn="0" w:lastColumn="0" w:noHBand="1" w:noVBand="1"/>
      </w:tblPr>
      <w:tblGrid>
        <w:gridCol w:w="4855"/>
        <w:gridCol w:w="4856"/>
        <w:gridCol w:w="4856"/>
      </w:tblGrid>
      <w:tr w:rsidR="00C50F7F">
        <w:tc>
          <w:tcPr>
            <w:tcW w:w="4855" w:type="dxa"/>
            <w:shd w:val="clear" w:color="auto" w:fill="FFFFFF"/>
            <w:noWrap/>
            <w:tcMar>
              <w:top w:w="75" w:type="dxa"/>
              <w:left w:w="75" w:type="dxa"/>
              <w:bottom w:w="75" w:type="dxa"/>
              <w:right w:w="75" w:type="dxa"/>
            </w:tcMar>
            <w:vAlign w:val="center"/>
          </w:tcPr>
          <w:p w:rsidR="00C50F7F" w:rsidRDefault="00F43FDF">
            <w:pPr>
              <w:jc w:val="left"/>
            </w:pPr>
            <w:r>
              <w:t>Datums**</w:t>
            </w:r>
          </w:p>
        </w:tc>
        <w:tc>
          <w:tcPr>
            <w:tcW w:w="4856" w:type="dxa"/>
            <w:shd w:val="clear" w:color="auto" w:fill="FFFFFF"/>
            <w:noWrap/>
            <w:tcMar>
              <w:top w:w="75" w:type="dxa"/>
              <w:left w:w="75" w:type="dxa"/>
              <w:bottom w:w="75" w:type="dxa"/>
              <w:right w:w="75" w:type="dxa"/>
            </w:tcMar>
            <w:vAlign w:val="center"/>
          </w:tcPr>
          <w:p w:rsidR="00C50F7F" w:rsidRDefault="00636C14" w:rsidP="00636C14">
            <w:pPr>
              <w:pBdr>
                <w:bottom w:val="single" w:sz="10" w:space="1" w:color="000000"/>
              </w:pBdr>
              <w:jc w:val="center"/>
            </w:pPr>
            <w:r>
              <w:t>28.07.2025.</w:t>
            </w:r>
          </w:p>
        </w:tc>
        <w:tc>
          <w:tcPr>
            <w:tcW w:w="4856" w:type="dxa"/>
            <w:shd w:val="clear" w:color="auto" w:fill="FFFFFF"/>
            <w:noWrap/>
            <w:tcMar>
              <w:top w:w="75" w:type="dxa"/>
              <w:left w:w="75" w:type="dxa"/>
              <w:bottom w:w="75" w:type="dxa"/>
              <w:right w:w="75" w:type="dxa"/>
            </w:tcMar>
            <w:vAlign w:val="center"/>
          </w:tcPr>
          <w:p w:rsidR="00C50F7F" w:rsidRDefault="00C50F7F"/>
        </w:tc>
      </w:tr>
      <w:tr w:rsidR="00C50F7F">
        <w:tc>
          <w:tcPr>
            <w:tcW w:w="4855" w:type="dxa"/>
            <w:shd w:val="clear" w:color="auto" w:fill="FFFFFF"/>
            <w:noWrap/>
            <w:tcMar>
              <w:top w:w="75" w:type="dxa"/>
              <w:left w:w="75" w:type="dxa"/>
              <w:bottom w:w="75" w:type="dxa"/>
              <w:right w:w="75" w:type="dxa"/>
            </w:tcMar>
            <w:vAlign w:val="center"/>
          </w:tcPr>
          <w:p w:rsidR="00C50F7F" w:rsidRDefault="00C50F7F"/>
        </w:tc>
        <w:tc>
          <w:tcPr>
            <w:tcW w:w="4856" w:type="dxa"/>
            <w:shd w:val="clear" w:color="auto" w:fill="FFFFFF"/>
            <w:noWrap/>
            <w:tcMar>
              <w:top w:w="75" w:type="dxa"/>
              <w:left w:w="75" w:type="dxa"/>
              <w:bottom w:w="75" w:type="dxa"/>
              <w:right w:w="75" w:type="dxa"/>
            </w:tcMar>
            <w:vAlign w:val="center"/>
          </w:tcPr>
          <w:p w:rsidR="00C50F7F" w:rsidRDefault="00F43FDF">
            <w:pPr>
              <w:jc w:val="center"/>
            </w:pPr>
            <w:r>
              <w:t>(dd.mm.gggg)</w:t>
            </w:r>
          </w:p>
        </w:tc>
        <w:tc>
          <w:tcPr>
            <w:tcW w:w="4856" w:type="dxa"/>
            <w:shd w:val="clear" w:color="auto" w:fill="FFFFFF"/>
            <w:noWrap/>
            <w:tcMar>
              <w:top w:w="75" w:type="dxa"/>
              <w:left w:w="75" w:type="dxa"/>
              <w:bottom w:w="75" w:type="dxa"/>
              <w:right w:w="75" w:type="dxa"/>
            </w:tcMar>
            <w:vAlign w:val="center"/>
          </w:tcPr>
          <w:p w:rsidR="00C50F7F" w:rsidRDefault="00C50F7F"/>
        </w:tc>
      </w:tr>
      <w:tr w:rsidR="00C50F7F">
        <w:tc>
          <w:tcPr>
            <w:tcW w:w="4855" w:type="dxa"/>
            <w:shd w:val="clear" w:color="auto" w:fill="FFFFFF"/>
            <w:noWrap/>
            <w:tcMar>
              <w:top w:w="75" w:type="dxa"/>
              <w:left w:w="75" w:type="dxa"/>
              <w:bottom w:w="75" w:type="dxa"/>
              <w:right w:w="75" w:type="dxa"/>
            </w:tcMar>
            <w:vAlign w:val="center"/>
          </w:tcPr>
          <w:p w:rsidR="00C50F7F" w:rsidRDefault="00F43FDF">
            <w:pPr>
              <w:jc w:val="left"/>
            </w:pPr>
            <w:r>
              <w:t>Atbildīgā persona</w:t>
            </w:r>
          </w:p>
        </w:tc>
        <w:tc>
          <w:tcPr>
            <w:tcW w:w="4856" w:type="dxa"/>
            <w:shd w:val="clear" w:color="auto" w:fill="FFFFFF"/>
            <w:noWrap/>
            <w:tcMar>
              <w:top w:w="75" w:type="dxa"/>
              <w:left w:w="75" w:type="dxa"/>
              <w:bottom w:w="75" w:type="dxa"/>
              <w:right w:w="75" w:type="dxa"/>
            </w:tcMar>
            <w:vAlign w:val="center"/>
          </w:tcPr>
          <w:p w:rsidR="00C50F7F" w:rsidRDefault="00636C14" w:rsidP="00636C14">
            <w:pPr>
              <w:pBdr>
                <w:bottom w:val="single" w:sz="10" w:space="1" w:color="000000"/>
              </w:pBdr>
              <w:jc w:val="center"/>
            </w:pPr>
            <w:r>
              <w:t>Artūrs Antanāvičs</w:t>
            </w:r>
          </w:p>
        </w:tc>
        <w:tc>
          <w:tcPr>
            <w:tcW w:w="4856" w:type="dxa"/>
            <w:shd w:val="clear" w:color="auto" w:fill="FFFFFF"/>
            <w:noWrap/>
            <w:tcMar>
              <w:top w:w="75" w:type="dxa"/>
              <w:left w:w="75" w:type="dxa"/>
              <w:bottom w:w="75" w:type="dxa"/>
              <w:right w:w="75" w:type="dxa"/>
            </w:tcMar>
            <w:vAlign w:val="center"/>
          </w:tcPr>
          <w:p w:rsidR="00C50F7F" w:rsidRDefault="00C50F7F"/>
        </w:tc>
      </w:tr>
      <w:tr w:rsidR="00C50F7F">
        <w:tc>
          <w:tcPr>
            <w:tcW w:w="4855" w:type="dxa"/>
            <w:shd w:val="clear" w:color="auto" w:fill="FFFFFF"/>
            <w:noWrap/>
            <w:tcMar>
              <w:top w:w="75" w:type="dxa"/>
              <w:left w:w="75" w:type="dxa"/>
              <w:bottom w:w="75" w:type="dxa"/>
              <w:right w:w="75" w:type="dxa"/>
            </w:tcMar>
            <w:vAlign w:val="center"/>
          </w:tcPr>
          <w:p w:rsidR="00C50F7F" w:rsidRDefault="00C50F7F"/>
        </w:tc>
        <w:tc>
          <w:tcPr>
            <w:tcW w:w="4856" w:type="dxa"/>
            <w:shd w:val="clear" w:color="auto" w:fill="FFFFFF"/>
            <w:noWrap/>
            <w:tcMar>
              <w:top w:w="75" w:type="dxa"/>
              <w:left w:w="75" w:type="dxa"/>
              <w:bottom w:w="75" w:type="dxa"/>
              <w:right w:w="75" w:type="dxa"/>
            </w:tcMar>
            <w:vAlign w:val="center"/>
          </w:tcPr>
          <w:p w:rsidR="00C50F7F" w:rsidRDefault="00F43FDF">
            <w:pPr>
              <w:jc w:val="center"/>
            </w:pPr>
            <w:bookmarkStart w:id="0" w:name="_GoBack"/>
            <w:bookmarkEnd w:id="0"/>
            <w:r>
              <w:t>(vārds, uzvārds, paraksts**)</w:t>
            </w:r>
          </w:p>
        </w:tc>
        <w:tc>
          <w:tcPr>
            <w:tcW w:w="4856" w:type="dxa"/>
            <w:shd w:val="clear" w:color="auto" w:fill="FFFFFF"/>
            <w:noWrap/>
            <w:tcMar>
              <w:top w:w="75" w:type="dxa"/>
              <w:left w:w="75" w:type="dxa"/>
              <w:bottom w:w="75" w:type="dxa"/>
              <w:right w:w="75" w:type="dxa"/>
            </w:tcMar>
            <w:vAlign w:val="center"/>
          </w:tcPr>
          <w:p w:rsidR="00C50F7F" w:rsidRDefault="00C50F7F"/>
        </w:tc>
      </w:tr>
    </w:tbl>
    <w:p w:rsidR="00C50F7F" w:rsidRDefault="00C50F7F"/>
    <w:p w:rsidR="00C50F7F" w:rsidRDefault="00F43FDF">
      <w:r>
        <w:t>Piezīmes.</w:t>
      </w:r>
    </w:p>
    <w:p w:rsidR="00C50F7F" w:rsidRDefault="00F43FDF">
      <w:r>
        <w:t>* Iesniedzējs (fiziskai personai – vārds, uzvārds, juridiskai personai – nosaukums) var tikt publiskots, ja viņš tam ir piekritis. Ja attiecināms, iesniedzējs norāda interešu pārstāvja reģistrācijas numuru.</w:t>
      </w:r>
    </w:p>
    <w:p w:rsidR="00C50F7F" w:rsidRDefault="00F43FDF">
      <w:r>
        <w:t>** Dokumenta rekvizītus "datums" un "paraksts" neaizpilda, ja elektroniskais dokuments ir sagatavots atbilstoši normatīvajiem aktiem par elektronisko dokumentu noformēšanu.</w:t>
      </w:r>
    </w:p>
    <w:sectPr w:rsidR="00C50F7F">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DA5" w:rsidRDefault="00284DA5">
      <w:r>
        <w:separator/>
      </w:r>
    </w:p>
  </w:endnote>
  <w:endnote w:type="continuationSeparator" w:id="0">
    <w:p w:rsidR="00284DA5" w:rsidRDefault="00284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Palatino">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F7F" w:rsidRDefault="00F43FDF">
    <w:pPr>
      <w:jc w:val="right"/>
    </w:pPr>
    <w:r>
      <w:rPr>
        <w:sz w:val="24"/>
        <w:szCs w:val="24"/>
      </w:rPr>
      <w:fldChar w:fldCharType="begin"/>
    </w:r>
    <w:r>
      <w:rPr>
        <w:sz w:val="24"/>
        <w:szCs w:val="24"/>
      </w:rPr>
      <w:instrText>PAGE</w:instrText>
    </w:r>
    <w:r>
      <w:rPr>
        <w:sz w:val="24"/>
        <w:szCs w:val="24"/>
      </w:rPr>
      <w:fldChar w:fldCharType="separate"/>
    </w:r>
    <w:r w:rsidR="00636C14">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9F7" w:rsidRDefault="00F43FDF">
    <w:r>
      <w:c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DA5" w:rsidRDefault="00284DA5">
      <w:r>
        <w:separator/>
      </w:r>
    </w:p>
  </w:footnote>
  <w:footnote w:type="continuationSeparator" w:id="0">
    <w:p w:rsidR="00284DA5" w:rsidRDefault="00284D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F7F" w:rsidRDefault="00F43FDF">
    <w:pPr>
      <w:pStyle w:val="Galvene"/>
      <w:contextualSpacing w:val="0"/>
    </w:pPr>
    <w:r>
      <w:t>Viedokļu pārskats 25-TA-1394</w:t>
    </w:r>
    <w:r>
      <w:br/>
      <w:t>Izdrukāts 28.07.2025. 08.43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F7F" w:rsidRDefault="00F43FDF">
    <w:pPr>
      <w:pStyle w:val="Galvene"/>
      <w:contextualSpacing w:val="0"/>
    </w:pPr>
    <w:r>
      <w:t>Viedokļu pārskats 25-TA-1394</w:t>
    </w:r>
    <w:r>
      <w:br/>
      <w:t>Izdrukāts 28.07.2025. 08.43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986B33"/>
    <w:multiLevelType w:val="hybridMultilevel"/>
    <w:tmpl w:val="7A84A9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50F7F"/>
    <w:rsid w:val="00284DA5"/>
    <w:rsid w:val="00636C14"/>
    <w:rsid w:val="008B7B7E"/>
    <w:rsid w:val="00B539F7"/>
    <w:rsid w:val="00C50F7F"/>
    <w:rsid w:val="00D17EC4"/>
    <w:rsid w:val="00EA3FEB"/>
    <w:rsid w:val="00F43FDF"/>
    <w:rsid w:val="00F46C7F"/>
    <w:rsid w:val="00FE7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1946F"/>
  <w15:docId w15:val="{3837A711-3BD9-4D41-B236-DBDFB3808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333333"/>
        <w:sz w:val="28"/>
        <w:lang w:val="lv-LV"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style>
  <w:style w:type="paragraph" w:styleId="Virsraksts1">
    <w:name w:val="heading 1"/>
    <w:basedOn w:val="Parasts"/>
    <w:next w:val="Parasts"/>
    <w:pPr>
      <w:spacing w:after="120"/>
      <w:contextualSpacing/>
      <w:outlineLvl w:val="0"/>
    </w:pPr>
    <w:rPr>
      <w:rFonts w:ascii="Palatino" w:eastAsia="Palatino" w:hAnsi="Palatino" w:cs="Palatino"/>
      <w:sz w:val="36"/>
    </w:rPr>
  </w:style>
  <w:style w:type="paragraph" w:styleId="Virsraksts2">
    <w:name w:val="heading 2"/>
    <w:basedOn w:val="Parasts"/>
    <w:next w:val="Parasts"/>
    <w:pPr>
      <w:spacing w:before="120" w:after="160"/>
      <w:contextualSpacing/>
      <w:outlineLvl w:val="1"/>
    </w:pPr>
    <w:rPr>
      <w:rFonts w:ascii="Arial" w:eastAsia="Arial" w:hAnsi="Arial" w:cs="Arial"/>
      <w:b/>
      <w:sz w:val="26"/>
    </w:rPr>
  </w:style>
  <w:style w:type="paragraph" w:styleId="Virsraksts3">
    <w:name w:val="heading 3"/>
    <w:basedOn w:val="Parasts"/>
    <w:next w:val="Parasts"/>
    <w:pPr>
      <w:spacing w:before="120" w:after="160"/>
      <w:contextualSpacing/>
      <w:outlineLvl w:val="2"/>
    </w:pPr>
    <w:rPr>
      <w:rFonts w:ascii="Arial" w:eastAsia="Arial" w:hAnsi="Arial" w:cs="Arial"/>
      <w:b/>
      <w:i/>
      <w:color w:val="666666"/>
      <w:sz w:val="24"/>
    </w:rPr>
  </w:style>
  <w:style w:type="paragraph" w:styleId="Virsraksts4">
    <w:name w:val="heading 4"/>
    <w:basedOn w:val="Parasts"/>
    <w:next w:val="Parasts"/>
    <w:pPr>
      <w:spacing w:before="120" w:after="120"/>
      <w:contextualSpacing/>
      <w:outlineLvl w:val="3"/>
    </w:pPr>
    <w:rPr>
      <w:rFonts w:ascii="Palatino" w:eastAsia="Palatino" w:hAnsi="Palatino" w:cs="Palatino"/>
      <w:b/>
      <w:sz w:val="24"/>
    </w:rPr>
  </w:style>
  <w:style w:type="paragraph" w:styleId="Virsraksts5">
    <w:name w:val="heading 5"/>
    <w:basedOn w:val="Parasts"/>
    <w:next w:val="Parasts"/>
    <w:pPr>
      <w:spacing w:before="120" w:after="120"/>
      <w:contextualSpacing/>
      <w:outlineLvl w:val="4"/>
    </w:pPr>
    <w:rPr>
      <w:rFonts w:ascii="Arial" w:eastAsia="Arial" w:hAnsi="Arial" w:cs="Arial"/>
      <w:b/>
      <w:sz w:val="22"/>
    </w:rPr>
  </w:style>
  <w:style w:type="paragraph" w:styleId="Virsraksts6">
    <w:name w:val="heading 6"/>
    <w:basedOn w:val="Parasts"/>
    <w:next w:val="Parasts"/>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644" w:lineRule="auto"/>
    </w:pPr>
    <w:tblPr>
      <w:tblCellMar>
        <w:top w:w="0" w:type="dxa"/>
        <w:left w:w="0" w:type="dxa"/>
        <w:bottom w:w="0" w:type="dxa"/>
        <w:right w:w="0" w:type="dxa"/>
      </w:tblCellMar>
    </w:tblPr>
  </w:style>
  <w:style w:type="paragraph" w:styleId="Nosaukums">
    <w:name w:val="Title"/>
    <w:basedOn w:val="Parasts"/>
    <w:next w:val="Parasts"/>
    <w:pPr>
      <w:contextualSpacing/>
    </w:pPr>
    <w:rPr>
      <w:rFonts w:ascii="Palatino" w:eastAsia="Palatino" w:hAnsi="Palatino" w:cs="Palatino"/>
      <w:sz w:val="60"/>
    </w:rPr>
  </w:style>
  <w:style w:type="paragraph" w:styleId="Apakvirsraksts">
    <w:name w:val="Subtitle"/>
    <w:basedOn w:val="Parasts"/>
    <w:next w:val="Parasts"/>
    <w:pPr>
      <w:spacing w:before="60"/>
      <w:contextualSpacing/>
    </w:pPr>
    <w:rPr>
      <w:rFonts w:ascii="Arial" w:eastAsia="Arial" w:hAnsi="Arial" w:cs="Arial"/>
    </w:rPr>
  </w:style>
  <w:style w:type="paragraph" w:customStyle="1" w:styleId="paragraph">
    <w:name w:val="paragraph"/>
    <w:basedOn w:val="Parasts"/>
    <w:next w:val="Parasts"/>
    <w:pPr>
      <w:contextualSpacing/>
    </w:pPr>
  </w:style>
  <w:style w:type="paragraph" w:customStyle="1" w:styleId="paragraphheader">
    <w:name w:val="paragraph_header"/>
    <w:basedOn w:val="Parasts"/>
    <w:next w:val="Parasts"/>
    <w:pPr>
      <w:spacing w:before="280" w:after="280"/>
      <w:contextualSpacing/>
    </w:pPr>
  </w:style>
  <w:style w:type="paragraph" w:styleId="Galvene">
    <w:name w:val="header"/>
    <w:basedOn w:val="Parasts"/>
    <w:next w:val="Parasts"/>
    <w:pPr>
      <w:spacing w:after="280"/>
      <w:contextualSpacing/>
      <w:jc w:val="right"/>
    </w:pPr>
    <w:rPr>
      <w:sz w:val="24"/>
    </w:rPr>
  </w:style>
  <w:style w:type="paragraph" w:customStyle="1" w:styleId="signeddocumentparagraph">
    <w:name w:val="signed_document_paragraph"/>
    <w:basedOn w:val="Parasts"/>
    <w:next w:val="Parasts"/>
    <w:pPr>
      <w:contextualSpacing/>
      <w:jc w:val="right"/>
    </w:pPr>
    <w:rPr>
      <w:sz w:val="24"/>
    </w:rPr>
  </w:style>
  <w:style w:type="paragraph" w:customStyle="1" w:styleId="boldparagraphheader">
    <w:name w:val="bold_paragraph_header"/>
    <w:basedOn w:val="Parasts"/>
    <w:next w:val="Parasts"/>
    <w:pPr>
      <w:contextualSpacing/>
      <w:jc w:val="center"/>
    </w:pPr>
    <w:rPr>
      <w:b/>
    </w:rPr>
  </w:style>
  <w:style w:type="table" w:customStyle="1" w:styleId="a">
    <w:basedOn w:val="TableNormal"/>
    <w:tblPr>
      <w:tblStyleRowBandSize w:val="1"/>
      <w:tblStyleColBandSize w:val="1"/>
    </w:tblPr>
  </w:style>
  <w:style w:type="paragraph" w:styleId="Sarakstarindkopa">
    <w:name w:val="List Paragraph"/>
    <w:basedOn w:val="Parasts"/>
    <w:uiPriority w:val="34"/>
    <w:qFormat/>
    <w:rsid w:val="00FE72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598</Words>
  <Characters>3413</Characters>
  <Application>Microsoft Office Word</Application>
  <DocSecurity>0</DocSecurity>
  <Lines>28</Lines>
  <Paragraphs>8</Paragraphs>
  <ScaleCrop>false</ScaleCrop>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viedoklu_parskats_25-TA-1394.docx</dc:title>
  <cp:lastModifiedBy>Artūrs Antanāvičs</cp:lastModifiedBy>
  <cp:revision>6</cp:revision>
  <dcterms:created xsi:type="dcterms:W3CDTF">2025-07-28T10:58:00Z</dcterms:created>
  <dcterms:modified xsi:type="dcterms:W3CDTF">2025-07-28T13:00:00Z</dcterms:modified>
</cp:coreProperties>
</file>