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0689A5" w14:textId="77777777" w:rsidR="002A17D5" w:rsidRDefault="006B4DD4">
      <w:pPr>
        <w:spacing w:after="240"/>
        <w:jc w:val="center"/>
        <w:rPr>
          <w:b/>
        </w:rPr>
      </w:pPr>
      <w:r>
        <w:rPr>
          <w:b/>
        </w:rPr>
        <w:t xml:space="preserve">“Publiskās apspriešanas laikā 31.03.2025. - 14.04.2025. saņemto viedokļu, priekšlikumu un iebildumu apkopojums par </w:t>
      </w:r>
      <w:proofErr w:type="spellStart"/>
      <w:r>
        <w:rPr>
          <w:b/>
        </w:rPr>
        <w:t>Grozījumi&amp;nbsp;Noziedzīgi</w:t>
      </w:r>
      <w:proofErr w:type="spellEnd"/>
      <w:r>
        <w:rPr>
          <w:b/>
        </w:rPr>
        <w:t xml:space="preserve"> iegūtu līdzekļu legalizācijas un terorisma un </w:t>
      </w:r>
      <w:proofErr w:type="spellStart"/>
      <w:r>
        <w:rPr>
          <w:b/>
        </w:rPr>
        <w:t>proliferācijas</w:t>
      </w:r>
      <w:proofErr w:type="spellEnd"/>
      <w:r>
        <w:rPr>
          <w:b/>
        </w:rPr>
        <w:t xml:space="preserve"> finansēšanas novēršanas likumā”</w:t>
      </w:r>
    </w:p>
    <w:tbl>
      <w:tblPr>
        <w:tblStyle w:val="a"/>
        <w:tblW w:w="14534"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23"/>
      </w:tblGrid>
      <w:tr w:rsidR="002A17D5" w14:paraId="010C2A14" w14:textId="77777777" w:rsidTr="00DF0919">
        <w:tc>
          <w:tcPr>
            <w:tcW w:w="750" w:type="dxa"/>
            <w:shd w:val="clear" w:color="auto" w:fill="FFFFFF"/>
            <w:noWrap/>
            <w:tcMar>
              <w:top w:w="75" w:type="dxa"/>
              <w:left w:w="75" w:type="dxa"/>
              <w:bottom w:w="75" w:type="dxa"/>
              <w:right w:w="75" w:type="dxa"/>
            </w:tcMar>
            <w:vAlign w:val="center"/>
          </w:tcPr>
          <w:p w14:paraId="49DB6299" w14:textId="77777777" w:rsidR="002A17D5" w:rsidRDefault="006B4DD4">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0625164" w14:textId="77777777" w:rsidR="002A17D5" w:rsidRDefault="006B4DD4">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6D91995" w14:textId="77777777" w:rsidR="002A17D5" w:rsidRDefault="006B4DD4">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1B74212" w14:textId="77777777" w:rsidR="002A17D5" w:rsidRDefault="006B4DD4">
            <w:pPr>
              <w:jc w:val="center"/>
            </w:pPr>
            <w:r>
              <w:rPr>
                <w:b/>
              </w:rPr>
              <w:t>Ņemts vērā / ņemts vērā daļēji / nav ņemts vērā</w:t>
            </w:r>
          </w:p>
        </w:tc>
        <w:tc>
          <w:tcPr>
            <w:tcW w:w="4023" w:type="dxa"/>
            <w:shd w:val="clear" w:color="auto" w:fill="FFFFFF"/>
            <w:noWrap/>
            <w:tcMar>
              <w:top w:w="75" w:type="dxa"/>
              <w:left w:w="75" w:type="dxa"/>
              <w:bottom w:w="75" w:type="dxa"/>
              <w:right w:w="75" w:type="dxa"/>
            </w:tcMar>
            <w:vAlign w:val="center"/>
          </w:tcPr>
          <w:p w14:paraId="4E6E85B4" w14:textId="77777777" w:rsidR="002A17D5" w:rsidRDefault="006B4DD4">
            <w:pPr>
              <w:jc w:val="center"/>
            </w:pPr>
            <w:r>
              <w:rPr>
                <w:b/>
              </w:rPr>
              <w:t>Skaidrojums, kādā veidā viedoklis / priekšlikums / iebildums ir ņemts vērā vai ņemts vērā daļēji, vai pamatojums, ja viedoklis / priekšlikums / iebildums nav ņemts vērā</w:t>
            </w:r>
          </w:p>
        </w:tc>
      </w:tr>
      <w:tr w:rsidR="002A17D5" w14:paraId="730DBCD1" w14:textId="77777777" w:rsidTr="00DF0919">
        <w:tc>
          <w:tcPr>
            <w:tcW w:w="750" w:type="dxa"/>
            <w:shd w:val="clear" w:color="auto" w:fill="FFFFFF"/>
            <w:noWrap/>
            <w:tcMar>
              <w:top w:w="75" w:type="dxa"/>
              <w:left w:w="75" w:type="dxa"/>
              <w:bottom w:w="75" w:type="dxa"/>
              <w:right w:w="75" w:type="dxa"/>
            </w:tcMar>
            <w:vAlign w:val="center"/>
          </w:tcPr>
          <w:p w14:paraId="4AB6F305" w14:textId="77777777" w:rsidR="002A17D5" w:rsidRDefault="006B4DD4">
            <w:pPr>
              <w:jc w:val="center"/>
            </w:pPr>
            <w:r>
              <w:t>1.</w:t>
            </w:r>
          </w:p>
        </w:tc>
        <w:tc>
          <w:tcPr>
            <w:tcW w:w="4055" w:type="dxa"/>
            <w:shd w:val="clear" w:color="auto" w:fill="FFFFFF"/>
            <w:noWrap/>
            <w:tcMar>
              <w:top w:w="75" w:type="dxa"/>
              <w:left w:w="75" w:type="dxa"/>
              <w:bottom w:w="75" w:type="dxa"/>
              <w:right w:w="75" w:type="dxa"/>
            </w:tcMar>
            <w:vAlign w:val="center"/>
          </w:tcPr>
          <w:p w14:paraId="6795D1AB" w14:textId="77777777" w:rsidR="002A17D5" w:rsidRDefault="006B4DD4">
            <w:pPr>
              <w:jc w:val="left"/>
            </w:pPr>
            <w:r>
              <w:t>Fiziska persona</w:t>
            </w:r>
          </w:p>
        </w:tc>
        <w:tc>
          <w:tcPr>
            <w:tcW w:w="4056" w:type="dxa"/>
            <w:shd w:val="clear" w:color="auto" w:fill="FFFFFF"/>
            <w:noWrap/>
            <w:tcMar>
              <w:top w:w="75" w:type="dxa"/>
              <w:left w:w="75" w:type="dxa"/>
              <w:bottom w:w="75" w:type="dxa"/>
              <w:right w:w="75" w:type="dxa"/>
            </w:tcMar>
            <w:vAlign w:val="center"/>
          </w:tcPr>
          <w:p w14:paraId="79998407" w14:textId="77777777" w:rsidR="002A17D5" w:rsidRDefault="006B4DD4">
            <w:pPr>
              <w:jc w:val="left"/>
            </w:pPr>
            <w:r>
              <w:t xml:space="preserve">Iebildumi par darījuma summas sliekšņa samazināšanu no 1500 € uz 1000 € projektā "Grozījumi Noziedzīgi iegūtu līdzekļu legalizācijas un terorisma un </w:t>
            </w:r>
            <w:proofErr w:type="spellStart"/>
            <w:r>
              <w:t>proliferācijas</w:t>
            </w:r>
            <w:proofErr w:type="spellEnd"/>
            <w:r>
              <w:t xml:space="preserve"> finansēšanas novēršanas likumā" (ID: 25-TA-195):</w:t>
            </w:r>
            <w:r>
              <w:br/>
            </w:r>
            <w:r>
              <w:br/>
              <w:t xml:space="preserve">Izsakām iebildumu pret piedāvāto darījuma summas sliekšņa samazināšanu no 1500 € uz 1000 € klienta izpētes uzsākšanai valūtas maiņas un citu līdzīgu pakalpojumu sniedzējiem. Šāds samazinājums, mūsuprāt, nav samērīgs un rada vairākus riskus </w:t>
            </w:r>
            <w:r>
              <w:lastRenderedPageBreak/>
              <w:t>un problēmas:</w:t>
            </w:r>
            <w:r>
              <w:br/>
            </w:r>
            <w:r>
              <w:br/>
              <w:t>• Proporcionalitātes trūkums – sliekšņa samazinājums tiek piemērots vienlīdzīgi visiem, neizvērtējot konkrēto darījumu vai klienta profilu, tādējādi ignorējot proporcionalitātes principu, kas ir būtisks ES AML/Direktīvu īstenošanā.</w:t>
            </w:r>
            <w:r>
              <w:br/>
            </w:r>
            <w:r>
              <w:br/>
              <w:t xml:space="preserve">• Administratīvā sloga pieaugums – mazajiem un vidējiem komersantiem, kā arī </w:t>
            </w:r>
            <w:proofErr w:type="spellStart"/>
            <w:r>
              <w:t>pašnodarbinātajiem</w:t>
            </w:r>
            <w:proofErr w:type="spellEnd"/>
            <w:r>
              <w:t>, šī izmaiņa var nozīmēt pienākumu veikt klientu padziļinātu izpēti gandrīz katrā darījumā, jo 1000 € nav tik liela summa šodienas realitātē. Kā arī šādas izmaiņas nozīmē būtisku administratīvo un finansiālo slogu, tostarp papildu IT pielāgojumus, apmācības un personāla resursu novirzīšanu.</w:t>
            </w:r>
            <w:r>
              <w:br/>
            </w:r>
            <w:r>
              <w:br/>
              <w:t xml:space="preserve">• Apšaubāms ietekmes efektivitātes pamatojums – nav uzrādīti skaidri pierādījumi, ka šī </w:t>
            </w:r>
            <w:r>
              <w:lastRenderedPageBreak/>
              <w:t>izmaiņa, darījumi tieši 1000–1500 € apmērā, ievērojami uzlabos noziedzīgi iegūtu līdzekļu legalizācijas novēršanu vai būtiski palielinās atklāto aizdomīgo darījumu skaitu. Līdz ar to šī norma var kļūt vairāk simboliska, nekā efektīva.</w:t>
            </w:r>
            <w:r>
              <w:br/>
            </w:r>
            <w:r>
              <w:br/>
              <w:t>• Augstāka darījumu pārbaudes biežuma ietekme uz operatīvo kapacitāti - uzraudzības iestādēm un privātajam sektoram būs nepieciešami lielāki resursi, lai analizētu un reģistrētu ievērojami vairāk darījumu, kas var novest pie sistēmas pārslodzes un faktiskās kontroles kvalitātes samazinājuma.</w:t>
            </w:r>
            <w:r>
              <w:br/>
            </w:r>
            <w:r>
              <w:br/>
              <w:t>• Konkurētspējas samazinājums – Latvijas regulējums kļūs stingrāks nekā citās reģiona valstīs, kas var novest pie konkurētspējas samazinājuma — īpaši attiecībā uz pārrobežu klientiem vai nišas uzņēmumiem (piemēram, valūtas maiņas vai tūrisma nozarē).</w:t>
            </w:r>
            <w:r>
              <w:br/>
            </w:r>
            <w:r>
              <w:lastRenderedPageBreak/>
              <w:br/>
              <w:t>• Klientu pieredzes pasliktināšanās – papildus identificēšanas prasības nelielos darījumos var radīt neērtības godprātīgiem klientiem, izraisīt uzticības zudumu un veicināt atteikšanos no legāliem finanšu pakalpojumiem.</w:t>
            </w:r>
            <w:r>
              <w:br/>
            </w:r>
            <w:r>
              <w:br/>
              <w:t>Ņemot vērā iepriekš minēto, aicinām saglabāt spēkā esošo 1500 € slieksni.</w:t>
            </w:r>
            <w:r>
              <w:br/>
            </w:r>
            <w:r>
              <w:br/>
              <w:t>Iebildumi pārējiem punktiem:</w:t>
            </w:r>
            <w:r>
              <w:br/>
            </w:r>
            <w:r>
              <w:br/>
            </w:r>
            <w:r>
              <w:br/>
              <w:t>Cieņā,/data/user/0/com.samsung.android.app.notes/files/clipdata/clipdata_bodytext_250414_082202_537.sdocx</w:t>
            </w:r>
          </w:p>
        </w:tc>
        <w:tc>
          <w:tcPr>
            <w:tcW w:w="1650" w:type="dxa"/>
            <w:shd w:val="clear" w:color="auto" w:fill="FFFFFF"/>
            <w:noWrap/>
            <w:tcMar>
              <w:top w:w="75" w:type="dxa"/>
              <w:left w:w="75" w:type="dxa"/>
              <w:bottom w:w="75" w:type="dxa"/>
              <w:right w:w="75" w:type="dxa"/>
            </w:tcMar>
            <w:vAlign w:val="center"/>
          </w:tcPr>
          <w:p w14:paraId="116B0ADD" w14:textId="1F95EB38" w:rsidR="002A17D5" w:rsidRDefault="00DF0919">
            <w:pPr>
              <w:jc w:val="left"/>
            </w:pPr>
            <w:r>
              <w:lastRenderedPageBreak/>
              <w:t>Ņemts vērā</w:t>
            </w:r>
          </w:p>
        </w:tc>
        <w:tc>
          <w:tcPr>
            <w:tcW w:w="4023" w:type="dxa"/>
            <w:shd w:val="clear" w:color="auto" w:fill="FFFFFF"/>
            <w:noWrap/>
            <w:tcMar>
              <w:top w:w="75" w:type="dxa"/>
              <w:left w:w="75" w:type="dxa"/>
              <w:bottom w:w="75" w:type="dxa"/>
              <w:right w:w="75" w:type="dxa"/>
            </w:tcMar>
            <w:vAlign w:val="center"/>
          </w:tcPr>
          <w:p w14:paraId="2F03B2C1" w14:textId="039273DF" w:rsidR="00DF0919" w:rsidRDefault="00DF0919" w:rsidP="00DF0919">
            <w:pPr>
              <w:rPr>
                <w:i/>
                <w:iCs/>
              </w:rPr>
            </w:pPr>
            <w:r>
              <w:t xml:space="preserve">Par </w:t>
            </w:r>
            <w:r w:rsidRPr="00DF0919">
              <w:t xml:space="preserve">Noziedzīgi iegūtu līdzekļu legalizācijas un terorisma un </w:t>
            </w:r>
            <w:proofErr w:type="spellStart"/>
            <w:r w:rsidRPr="00DF0919">
              <w:t>proliferācijas</w:t>
            </w:r>
            <w:proofErr w:type="spellEnd"/>
            <w:r w:rsidRPr="00DF0919">
              <w:t xml:space="preserve"> finansēšanas novēršanas likum</w:t>
            </w:r>
            <w:r>
              <w:t>a (turpmāk -</w:t>
            </w:r>
            <w:r w:rsidRPr="00DF0919">
              <w:t xml:space="preserve"> </w:t>
            </w:r>
            <w:r>
              <w:t>Novēršanas likums) 11. panta pirmās daļas 2. punkta c) apakšpunkta jauno redakciju tika saņemti priekšlikumi un iebildumi no fiziskas personas un biedrības “Nebanku Finanšu Pakalpojumu Sniedzēju asociācija” (turpmāk – biedrība) (biedrības “Nebanku Finanšu Pakalpojumu Sniedzēju asociācija” 2025. gada 14. aprīļa vēstule</w:t>
            </w:r>
            <w:r w:rsidR="006B4DD4">
              <w:t xml:space="preserve"> </w:t>
            </w:r>
            <w:r>
              <w:t xml:space="preserve">Nr.20250414/001 “Priekšlikumi Par tiesību akta projektu “Grozījumi Noziedzīgi </w:t>
            </w:r>
            <w:r>
              <w:lastRenderedPageBreak/>
              <w:t xml:space="preserve">iegūtu līdzekļu legalizācijas un terorisma un </w:t>
            </w:r>
            <w:proofErr w:type="spellStart"/>
            <w:r>
              <w:t>proliferācijas</w:t>
            </w:r>
            <w:proofErr w:type="spellEnd"/>
            <w:r>
              <w:t xml:space="preserve"> finansēšanas novēršanas likumā”)</w:t>
            </w:r>
            <w:r>
              <w:rPr>
                <w:i/>
                <w:iCs/>
              </w:rPr>
              <w:t xml:space="preserve">. </w:t>
            </w:r>
          </w:p>
          <w:p w14:paraId="3BED5341" w14:textId="169F44FB" w:rsidR="00DF0919" w:rsidRDefault="00DF0919" w:rsidP="00DF0919">
            <w:r>
              <w:t xml:space="preserve">Izvērtējot sniegto argumentāciju </w:t>
            </w:r>
            <w:r w:rsidRPr="00D91FA1">
              <w:t>par radītajiem riskiem un problēmām sakarā ar jauniem grozījumiem,</w:t>
            </w:r>
            <w:r>
              <w:t xml:space="preserve"> ir ņemts vērā priekšlikums saglabāt esošo 1500 </w:t>
            </w:r>
            <w:proofErr w:type="spellStart"/>
            <w:r w:rsidRPr="00B562D0">
              <w:rPr>
                <w:i/>
                <w:iCs/>
              </w:rPr>
              <w:t>euro</w:t>
            </w:r>
            <w:proofErr w:type="spellEnd"/>
            <w:r>
              <w:t xml:space="preserve"> klientu izpētes slieksni gadījuma rakstura valūtu tirdzniecības darījumos, izsakot</w:t>
            </w:r>
            <w:r w:rsidR="006B4DD4">
              <w:t xml:space="preserve"> Novēršanas likuma</w:t>
            </w:r>
            <w:r>
              <w:t xml:space="preserve"> 11. panta pirmās daļas 2. punkta c) apakšpunktu šādā redakcijā:</w:t>
            </w:r>
          </w:p>
          <w:p w14:paraId="1A9FC6D9" w14:textId="77777777" w:rsidR="00DF0919" w:rsidRDefault="00DF0919" w:rsidP="00DF0919">
            <w:r>
              <w:t xml:space="preserve">“Likuma subjekts veic klienta izpēti pirms gadījuma rakstura darījuma, ja tiek veikts valūtu tirdzniecības darījums, kura apmērs vai vairāku šķietami saistītu darījumu kopējā summa pārsniedz 1500 </w:t>
            </w:r>
            <w:proofErr w:type="spellStart"/>
            <w:r>
              <w:rPr>
                <w:i/>
              </w:rPr>
              <w:t>euro</w:t>
            </w:r>
            <w:proofErr w:type="spellEnd"/>
            <w:r>
              <w:t xml:space="preserve"> vai mazāku summu, kuru noteicis likuma subjekts, pamatojoties uz tā darbībai piemītošo risku novērtējumu.”</w:t>
            </w:r>
          </w:p>
          <w:p w14:paraId="528C7FC0" w14:textId="7F7B1489" w:rsidR="002A17D5" w:rsidRDefault="00DF0919" w:rsidP="00DF0919">
            <w:r>
              <w:t xml:space="preserve">Biedrības priekšlikums noteikt Novēršanas likuma subjektam atbrīvojumu no klienta izpētes </w:t>
            </w:r>
            <w:r>
              <w:lastRenderedPageBreak/>
              <w:t xml:space="preserve">pasākumu piemērošanas (izņemot klienta identifikāciju), veicot klienta izpēti pirms gadījuma rakstura valūtu tirdzniecības darījuma, ja tā apmērs vai vairāku šķietami saistītu darījumu kopējā summa pārsniedz 1500 </w:t>
            </w:r>
            <w:proofErr w:type="spellStart"/>
            <w:r w:rsidRPr="00E07031">
              <w:rPr>
                <w:i/>
                <w:iCs/>
              </w:rPr>
              <w:t>euro</w:t>
            </w:r>
            <w:proofErr w:type="spellEnd"/>
            <w:r>
              <w:t xml:space="preserve"> vai mazāku summu, kuru noteicis Novēršanas likuma subjekts, pamatojoties uz tā darbībai piemītošo risku novērtējumu,  nebūtu nepieciešams, jo Novēršanas likuma 11. panta pirmās daļas 2. punkta c) apakšpunkts pēc biedrības iepriekš minētā priekšlikuma atbalstīšanas ļaus Novēršanas likuma subjektam, pamatojoties uz tā darbībai piemītošo risku novērtējumu, noteikt arī mazāku darījuma (vai vairāku savstarpēji saistītu darījumu) summu par attiecīgajā Novēršanas likuma normā noteikto, kuru izmantot kā kritēriju klienta izpētes uzsākšanai</w:t>
            </w:r>
            <w:r w:rsidRPr="00C21F6D">
              <w:t xml:space="preserve">. </w:t>
            </w:r>
            <w:r>
              <w:t xml:space="preserve">Klienta izpēte ir uz risku novērtējumu balstīts darbību kopums, kura ietvaros Novēršanas </w:t>
            </w:r>
            <w:r>
              <w:lastRenderedPageBreak/>
              <w:t xml:space="preserve">likuma subjekts sākotnēji identificē klientu un </w:t>
            </w:r>
            <w:r w:rsidRPr="00D1226D">
              <w:t>vei</w:t>
            </w:r>
            <w:r>
              <w:t>c</w:t>
            </w:r>
            <w:r w:rsidRPr="00D1226D">
              <w:t xml:space="preserve"> </w:t>
            </w:r>
            <w:r>
              <w:t xml:space="preserve">citus klienta izpētes </w:t>
            </w:r>
            <w:r w:rsidRPr="00D1226D">
              <w:t>pasākum</w:t>
            </w:r>
            <w:r>
              <w:t>us</w:t>
            </w:r>
            <w:r w:rsidRPr="00D1226D">
              <w:t xml:space="preserve"> ar mērķi noskaidrot klienta</w:t>
            </w:r>
            <w:r>
              <w:t xml:space="preserve"> patieso labuma guvēju,</w:t>
            </w:r>
            <w:r w:rsidRPr="00D1226D">
              <w:t xml:space="preserve"> darījuma mērķi un būtību</w:t>
            </w:r>
            <w:r>
              <w:t>. Klienta izpētes mērķis ir noskaidrot un pārzināt klienta darbību saistībā ar Novēršanas likuma subjekta sniegtajiem pakalpojumiem, lai Novēršanas likuma subjekts netiktu iesaistīts noziedzīgi iegūtu līdzekļu legalizācijā vai</w:t>
            </w:r>
            <w:r w:rsidRPr="007904E7">
              <w:t xml:space="preserve"> terorisma </w:t>
            </w:r>
            <w:r>
              <w:t>vai</w:t>
            </w:r>
            <w:r w:rsidRPr="007904E7">
              <w:t xml:space="preserve"> </w:t>
            </w:r>
            <w:proofErr w:type="spellStart"/>
            <w:r w:rsidRPr="007904E7">
              <w:t>proliferācijas</w:t>
            </w:r>
            <w:proofErr w:type="spellEnd"/>
            <w:r w:rsidRPr="007904E7">
              <w:t xml:space="preserve"> finansēšan</w:t>
            </w:r>
            <w:r>
              <w:t>ā.</w:t>
            </w:r>
            <w:r w:rsidRPr="00035EE8">
              <w:t xml:space="preserve"> </w:t>
            </w:r>
            <w:r>
              <w:t>Klienta izpētes ietvaros Novēršanas likuma subjekts, pamatojoties uz iegūto informāciju, nosaka klientam piemītošos riskus un to līmeni, lai tādējādi piemērotu klienta izpētes pasākumus atbilstošā apjomā.  Klienta izpētes pasākumu nepiemērošana gadījuma rakstura valūtu tirdzniecības darījumos neveicinātu iepriekš minēto mērķu sasniegšanu.</w:t>
            </w:r>
          </w:p>
        </w:tc>
      </w:tr>
    </w:tbl>
    <w:p w14:paraId="7111967C" w14:textId="77777777" w:rsidR="002A17D5" w:rsidRDefault="002A17D5"/>
    <w:tbl>
      <w:tblPr>
        <w:tblStyle w:val="a"/>
        <w:tblW w:w="14567" w:type="dxa"/>
        <w:tblLayout w:type="fixed"/>
        <w:tblLook w:val="0600" w:firstRow="0" w:lastRow="0" w:firstColumn="0" w:lastColumn="0" w:noHBand="1" w:noVBand="1"/>
      </w:tblPr>
      <w:tblGrid>
        <w:gridCol w:w="4855"/>
        <w:gridCol w:w="4856"/>
        <w:gridCol w:w="4856"/>
      </w:tblGrid>
      <w:tr w:rsidR="002A17D5" w14:paraId="40729918" w14:textId="77777777">
        <w:tc>
          <w:tcPr>
            <w:tcW w:w="4855" w:type="dxa"/>
            <w:shd w:val="clear" w:color="auto" w:fill="FFFFFF"/>
            <w:noWrap/>
            <w:tcMar>
              <w:top w:w="75" w:type="dxa"/>
              <w:left w:w="75" w:type="dxa"/>
              <w:bottom w:w="75" w:type="dxa"/>
              <w:right w:w="75" w:type="dxa"/>
            </w:tcMar>
            <w:vAlign w:val="center"/>
          </w:tcPr>
          <w:p w14:paraId="4AC6F6ED" w14:textId="77777777" w:rsidR="002A17D5" w:rsidRDefault="006B4DD4">
            <w:pPr>
              <w:jc w:val="left"/>
            </w:pPr>
            <w:r>
              <w:lastRenderedPageBreak/>
              <w:t>Datums**</w:t>
            </w:r>
          </w:p>
        </w:tc>
        <w:tc>
          <w:tcPr>
            <w:tcW w:w="4856" w:type="dxa"/>
            <w:shd w:val="clear" w:color="auto" w:fill="FFFFFF"/>
            <w:noWrap/>
            <w:tcMar>
              <w:top w:w="75" w:type="dxa"/>
              <w:left w:w="75" w:type="dxa"/>
              <w:bottom w:w="75" w:type="dxa"/>
              <w:right w:w="75" w:type="dxa"/>
            </w:tcMar>
            <w:vAlign w:val="center"/>
          </w:tcPr>
          <w:p w14:paraId="4DFBC0E2" w14:textId="242C1306" w:rsidR="002A17D5" w:rsidRDefault="00DF0919">
            <w:pPr>
              <w:pBdr>
                <w:bottom w:val="single" w:sz="10" w:space="1" w:color="000000"/>
              </w:pBdr>
            </w:pPr>
            <w:r>
              <w:t>13.05.2025.</w:t>
            </w:r>
          </w:p>
        </w:tc>
        <w:tc>
          <w:tcPr>
            <w:tcW w:w="4856" w:type="dxa"/>
            <w:shd w:val="clear" w:color="auto" w:fill="FFFFFF"/>
            <w:noWrap/>
            <w:tcMar>
              <w:top w:w="75" w:type="dxa"/>
              <w:left w:w="75" w:type="dxa"/>
              <w:bottom w:w="75" w:type="dxa"/>
              <w:right w:w="75" w:type="dxa"/>
            </w:tcMar>
            <w:vAlign w:val="center"/>
          </w:tcPr>
          <w:p w14:paraId="4E236F53" w14:textId="77777777" w:rsidR="002A17D5" w:rsidRDefault="002A17D5"/>
        </w:tc>
      </w:tr>
      <w:tr w:rsidR="002A17D5" w14:paraId="7124ECE0" w14:textId="77777777">
        <w:tc>
          <w:tcPr>
            <w:tcW w:w="4855" w:type="dxa"/>
            <w:shd w:val="clear" w:color="auto" w:fill="FFFFFF"/>
            <w:noWrap/>
            <w:tcMar>
              <w:top w:w="75" w:type="dxa"/>
              <w:left w:w="75" w:type="dxa"/>
              <w:bottom w:w="75" w:type="dxa"/>
              <w:right w:w="75" w:type="dxa"/>
            </w:tcMar>
            <w:vAlign w:val="center"/>
          </w:tcPr>
          <w:p w14:paraId="076814AD" w14:textId="77777777" w:rsidR="002A17D5" w:rsidRDefault="002A17D5"/>
        </w:tc>
        <w:tc>
          <w:tcPr>
            <w:tcW w:w="4856" w:type="dxa"/>
            <w:shd w:val="clear" w:color="auto" w:fill="FFFFFF"/>
            <w:noWrap/>
            <w:tcMar>
              <w:top w:w="75" w:type="dxa"/>
              <w:left w:w="75" w:type="dxa"/>
              <w:bottom w:w="75" w:type="dxa"/>
              <w:right w:w="75" w:type="dxa"/>
            </w:tcMar>
            <w:vAlign w:val="center"/>
          </w:tcPr>
          <w:p w14:paraId="3EEDD3FD" w14:textId="77777777" w:rsidR="002A17D5" w:rsidRDefault="006B4DD4">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4EA7204" w14:textId="77777777" w:rsidR="002A17D5" w:rsidRDefault="002A17D5"/>
        </w:tc>
      </w:tr>
      <w:tr w:rsidR="002A17D5" w14:paraId="6A91F675" w14:textId="77777777">
        <w:tc>
          <w:tcPr>
            <w:tcW w:w="4855" w:type="dxa"/>
            <w:shd w:val="clear" w:color="auto" w:fill="FFFFFF"/>
            <w:noWrap/>
            <w:tcMar>
              <w:top w:w="75" w:type="dxa"/>
              <w:left w:w="75" w:type="dxa"/>
              <w:bottom w:w="75" w:type="dxa"/>
              <w:right w:w="75" w:type="dxa"/>
            </w:tcMar>
            <w:vAlign w:val="center"/>
          </w:tcPr>
          <w:p w14:paraId="30A03D05" w14:textId="77777777" w:rsidR="002A17D5" w:rsidRDefault="006B4DD4">
            <w:pPr>
              <w:jc w:val="left"/>
            </w:pPr>
            <w:r>
              <w:t>Atbildīgā persona</w:t>
            </w:r>
          </w:p>
        </w:tc>
        <w:tc>
          <w:tcPr>
            <w:tcW w:w="4856" w:type="dxa"/>
            <w:shd w:val="clear" w:color="auto" w:fill="FFFFFF"/>
            <w:noWrap/>
            <w:tcMar>
              <w:top w:w="75" w:type="dxa"/>
              <w:left w:w="75" w:type="dxa"/>
              <w:bottom w:w="75" w:type="dxa"/>
              <w:right w:w="75" w:type="dxa"/>
            </w:tcMar>
            <w:vAlign w:val="center"/>
          </w:tcPr>
          <w:p w14:paraId="0E51B52C" w14:textId="77777777" w:rsidR="002A17D5" w:rsidRDefault="002A17D5">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FA00FFB" w14:textId="77777777" w:rsidR="002A17D5" w:rsidRDefault="002A17D5"/>
        </w:tc>
      </w:tr>
      <w:tr w:rsidR="002A17D5" w14:paraId="79F4BF20" w14:textId="77777777">
        <w:tc>
          <w:tcPr>
            <w:tcW w:w="4855" w:type="dxa"/>
            <w:shd w:val="clear" w:color="auto" w:fill="FFFFFF"/>
            <w:noWrap/>
            <w:tcMar>
              <w:top w:w="75" w:type="dxa"/>
              <w:left w:w="75" w:type="dxa"/>
              <w:bottom w:w="75" w:type="dxa"/>
              <w:right w:w="75" w:type="dxa"/>
            </w:tcMar>
            <w:vAlign w:val="center"/>
          </w:tcPr>
          <w:p w14:paraId="7CA8E474" w14:textId="77777777" w:rsidR="002A17D5" w:rsidRDefault="002A17D5"/>
        </w:tc>
        <w:tc>
          <w:tcPr>
            <w:tcW w:w="4856" w:type="dxa"/>
            <w:shd w:val="clear" w:color="auto" w:fill="FFFFFF"/>
            <w:noWrap/>
            <w:tcMar>
              <w:top w:w="75" w:type="dxa"/>
              <w:left w:w="75" w:type="dxa"/>
              <w:bottom w:w="75" w:type="dxa"/>
              <w:right w:w="75" w:type="dxa"/>
            </w:tcMar>
            <w:vAlign w:val="center"/>
          </w:tcPr>
          <w:p w14:paraId="7651434D" w14:textId="77777777" w:rsidR="002A17D5" w:rsidRDefault="006B4DD4">
            <w:pPr>
              <w:jc w:val="center"/>
            </w:pPr>
            <w:r>
              <w:t>(vārds, uzvārds, paraksts**)</w:t>
            </w:r>
          </w:p>
        </w:tc>
        <w:tc>
          <w:tcPr>
            <w:tcW w:w="4856" w:type="dxa"/>
            <w:shd w:val="clear" w:color="auto" w:fill="FFFFFF"/>
            <w:noWrap/>
            <w:tcMar>
              <w:top w:w="75" w:type="dxa"/>
              <w:left w:w="75" w:type="dxa"/>
              <w:bottom w:w="75" w:type="dxa"/>
              <w:right w:w="75" w:type="dxa"/>
            </w:tcMar>
            <w:vAlign w:val="center"/>
          </w:tcPr>
          <w:p w14:paraId="268FE945" w14:textId="77777777" w:rsidR="002A17D5" w:rsidRDefault="002A17D5"/>
        </w:tc>
      </w:tr>
    </w:tbl>
    <w:p w14:paraId="3D551E45" w14:textId="77777777" w:rsidR="002A17D5" w:rsidRDefault="002A17D5"/>
    <w:p w14:paraId="0577096C" w14:textId="77777777" w:rsidR="002A17D5" w:rsidRDefault="006B4DD4">
      <w:r>
        <w:t>Piezīmes.</w:t>
      </w:r>
    </w:p>
    <w:p w14:paraId="42B12B3B" w14:textId="77777777" w:rsidR="002A17D5" w:rsidRDefault="006B4DD4">
      <w:r>
        <w:t>* Iesniedzējs (fiziskai personai – vārds, uzvārds, juridiskai personai – nosaukums) var tikt publiskots, ja viņš tam ir piekritis. Ja attiecināms, iesniedzējs norāda interešu pārstāvja reģistrācijas numuru.</w:t>
      </w:r>
    </w:p>
    <w:p w14:paraId="21D45CB6" w14:textId="77777777" w:rsidR="002A17D5" w:rsidRDefault="006B4DD4">
      <w:r>
        <w:t>** Dokumenta rekvizītus "datums" un "paraksts" neaizpilda, ja elektroniskais dokuments ir sagatavots atbilstoši normatīvajiem aktiem par elektronisko dokumentu noformēšanu.</w:t>
      </w:r>
    </w:p>
    <w:sectPr w:rsidR="002A17D5">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C68AA" w14:textId="77777777" w:rsidR="006B4DD4" w:rsidRDefault="006B4DD4">
      <w:r>
        <w:separator/>
      </w:r>
    </w:p>
  </w:endnote>
  <w:endnote w:type="continuationSeparator" w:id="0">
    <w:p w14:paraId="55DE3633" w14:textId="77777777" w:rsidR="006B4DD4" w:rsidRDefault="006B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7A3F" w14:textId="77777777" w:rsidR="002A17D5" w:rsidRDefault="006B4DD4">
    <w:pPr>
      <w:jc w:val="right"/>
    </w:pPr>
    <w:r>
      <w:rPr>
        <w:sz w:val="24"/>
        <w:szCs w:val="24"/>
      </w:rPr>
      <w:fldChar w:fldCharType="begin"/>
    </w:r>
    <w:r>
      <w:rPr>
        <w:sz w:val="24"/>
        <w:szCs w:val="24"/>
      </w:rPr>
      <w:instrText>PAGE</w:instrText>
    </w:r>
    <w:r>
      <w:rPr>
        <w:sz w:val="24"/>
        <w:szCs w:val="24"/>
      </w:rPr>
      <w:fldChar w:fldCharType="separate"/>
    </w:r>
    <w:r w:rsidR="005F599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36D0" w14:textId="77777777" w:rsidR="006B4DD4" w:rsidRDefault="006B4DD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EBAF" w14:textId="77777777" w:rsidR="006B4DD4" w:rsidRDefault="006B4DD4">
      <w:r>
        <w:separator/>
      </w:r>
    </w:p>
  </w:footnote>
  <w:footnote w:type="continuationSeparator" w:id="0">
    <w:p w14:paraId="330488F9" w14:textId="77777777" w:rsidR="006B4DD4" w:rsidRDefault="006B4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934E" w14:textId="77777777" w:rsidR="002A17D5" w:rsidRDefault="006B4DD4">
    <w:pPr>
      <w:pStyle w:val="Header"/>
      <w:contextualSpacing w:val="0"/>
    </w:pPr>
    <w:r>
      <w:t>Viedokļu pārskats 25-TA-195</w:t>
    </w:r>
    <w:r>
      <w:br/>
      <w:t>Izdrukāts 13.05.2025. 10.47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4BA7" w14:textId="77777777" w:rsidR="002A17D5" w:rsidRDefault="006B4DD4">
    <w:pPr>
      <w:pStyle w:val="Header"/>
      <w:contextualSpacing w:val="0"/>
    </w:pPr>
    <w:r>
      <w:t>Viedokļu pārskats 25-TA-195</w:t>
    </w:r>
    <w:r>
      <w:br/>
      <w:t>Izdrukāts 13.05.2025. 10.47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D5"/>
    <w:rsid w:val="000C49D4"/>
    <w:rsid w:val="002A17D5"/>
    <w:rsid w:val="005F5996"/>
    <w:rsid w:val="006B4DD4"/>
    <w:rsid w:val="00715697"/>
    <w:rsid w:val="00DF0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8B6A"/>
  <w15:docId w15:val="{3AA34F7A-0BBF-45F2-9B33-24F46325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DF0919"/>
    <w:rPr>
      <w:sz w:val="16"/>
      <w:szCs w:val="16"/>
    </w:rPr>
  </w:style>
  <w:style w:type="paragraph" w:styleId="CommentText">
    <w:name w:val="annotation text"/>
    <w:basedOn w:val="Normal"/>
    <w:link w:val="CommentTextChar"/>
    <w:uiPriority w:val="99"/>
    <w:unhideWhenUsed/>
    <w:rsid w:val="00DF0919"/>
    <w:rPr>
      <w:sz w:val="20"/>
    </w:rPr>
  </w:style>
  <w:style w:type="character" w:customStyle="1" w:styleId="CommentTextChar">
    <w:name w:val="Comment Text Char"/>
    <w:basedOn w:val="DefaultParagraphFont"/>
    <w:link w:val="CommentText"/>
    <w:uiPriority w:val="99"/>
    <w:rsid w:val="00DF091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4084</Words>
  <Characters>2329</Characters>
  <Application>Microsoft Office Word</Application>
  <DocSecurity>0</DocSecurity>
  <Lines>19</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viedoklu_parskats_25-TA-195.docx</dc:title>
  <dc:creator>Agnese Saukuma</dc:creator>
  <cp:lastModifiedBy>Agnese Saukuma</cp:lastModifiedBy>
  <cp:revision>2</cp:revision>
  <dcterms:created xsi:type="dcterms:W3CDTF">2025-05-13T07:57:00Z</dcterms:created>
  <dcterms:modified xsi:type="dcterms:W3CDTF">2025-05-13T07:57:00Z</dcterms:modified>
</cp:coreProperties>
</file>