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4A0CCFEB" w14:textId="3078DAC8" w:rsidR="00FF19C6" w:rsidRDefault="00AE48C0">
      <w:pPr>
        <w:spacing w:after="240"/>
        <w:jc w:val="center"/>
        <w:rPr>
          <w:b/>
        </w:rPr>
      </w:pPr>
      <w:r>
        <w:rPr>
          <w:b/>
        </w:rPr>
        <w:t xml:space="preserve">“Publiskās apspriešanas laikā 10.06.2025. - 24.06.2025. saņemto viedokļu, priekšlikumu un iebildumu apkopojums par </w:t>
      </w:r>
      <w:bookmarkStart w:id="0" w:name="OLE_LINK7"/>
      <w:r>
        <w:rPr>
          <w:b/>
        </w:rPr>
        <w:t>Grozījums Ministru kabineta 2013. gada 30. aprīļa noteikumos Nr.</w:t>
      </w:r>
      <w:r w:rsidR="00D94AD2">
        <w:rPr>
          <w:b/>
        </w:rPr>
        <w:t xml:space="preserve"> </w:t>
      </w:r>
      <w:r>
        <w:rPr>
          <w:b/>
        </w:rPr>
        <w:t>240 "Vispārīgie teritorijas plānošanas, izmantošanas un apbūves noteikumi"</w:t>
      </w:r>
      <w:bookmarkEnd w:id="0"/>
      <w:r>
        <w:rPr>
          <w:b/>
        </w:rPr>
        <w:t>”</w:t>
      </w:r>
    </w:p>
    <w:tbl>
      <w:tblPr>
        <w:tblStyle w:val="a"/>
        <w:tblW w:w="14567"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750"/>
        <w:gridCol w:w="4055"/>
        <w:gridCol w:w="4056"/>
        <w:gridCol w:w="1650"/>
        <w:gridCol w:w="4056"/>
      </w:tblGrid>
      <w:tr w:rsidR="00FF19C6" w14:paraId="52573D67" w14:textId="77777777">
        <w:tc>
          <w:tcPr>
            <w:tcW w:w="750" w:type="dxa"/>
            <w:shd w:val="clear" w:color="auto" w:fill="FFFFFF"/>
            <w:noWrap/>
            <w:tcMar>
              <w:top w:w="75" w:type="dxa"/>
              <w:left w:w="75" w:type="dxa"/>
              <w:bottom w:w="75" w:type="dxa"/>
              <w:right w:w="75" w:type="dxa"/>
            </w:tcMar>
            <w:vAlign w:val="center"/>
          </w:tcPr>
          <w:p w14:paraId="68913645" w14:textId="77777777" w:rsidR="00FF19C6" w:rsidRDefault="00AE48C0">
            <w:pPr>
              <w:jc w:val="center"/>
            </w:pPr>
            <w:r>
              <w:rPr>
                <w:b/>
              </w:rPr>
              <w:t>Nr.p.k.</w:t>
            </w:r>
          </w:p>
        </w:tc>
        <w:tc>
          <w:tcPr>
            <w:tcW w:w="4055" w:type="dxa"/>
            <w:shd w:val="clear" w:color="auto" w:fill="FFFFFF"/>
            <w:noWrap/>
            <w:tcMar>
              <w:top w:w="75" w:type="dxa"/>
              <w:left w:w="75" w:type="dxa"/>
              <w:bottom w:w="75" w:type="dxa"/>
              <w:right w:w="75" w:type="dxa"/>
            </w:tcMar>
            <w:vAlign w:val="center"/>
          </w:tcPr>
          <w:p w14:paraId="25DBF558" w14:textId="77777777" w:rsidR="00FF19C6" w:rsidRDefault="00AE48C0">
            <w:pPr>
              <w:jc w:val="center"/>
            </w:pPr>
            <w:r>
              <w:rPr>
                <w:b/>
              </w:rPr>
              <w:t>Viedokļa / priekšlikuma / iebilduma iesniedzējs*</w:t>
            </w:r>
          </w:p>
        </w:tc>
        <w:tc>
          <w:tcPr>
            <w:tcW w:w="4056" w:type="dxa"/>
            <w:shd w:val="clear" w:color="auto" w:fill="FFFFFF"/>
            <w:noWrap/>
            <w:tcMar>
              <w:top w:w="75" w:type="dxa"/>
              <w:left w:w="75" w:type="dxa"/>
              <w:bottom w:w="75" w:type="dxa"/>
              <w:right w:w="75" w:type="dxa"/>
            </w:tcMar>
            <w:vAlign w:val="center"/>
          </w:tcPr>
          <w:p w14:paraId="0260099D" w14:textId="77777777" w:rsidR="00FF19C6" w:rsidRDefault="00AE48C0">
            <w:pPr>
              <w:jc w:val="center"/>
            </w:pPr>
            <w:r>
              <w:rPr>
                <w:b/>
              </w:rPr>
              <w:t>Iesniegtā viedokļa / priekšlikuma / iebilduma būtība</w:t>
            </w:r>
          </w:p>
        </w:tc>
        <w:tc>
          <w:tcPr>
            <w:tcW w:w="1650" w:type="dxa"/>
            <w:shd w:val="clear" w:color="auto" w:fill="FFFFFF"/>
            <w:noWrap/>
            <w:tcMar>
              <w:top w:w="75" w:type="dxa"/>
              <w:left w:w="75" w:type="dxa"/>
              <w:bottom w:w="75" w:type="dxa"/>
              <w:right w:w="75" w:type="dxa"/>
            </w:tcMar>
            <w:vAlign w:val="center"/>
          </w:tcPr>
          <w:p w14:paraId="395D7AF1" w14:textId="77777777" w:rsidR="00FF19C6" w:rsidRDefault="00AE48C0">
            <w:pPr>
              <w:jc w:val="center"/>
            </w:pPr>
            <w:r>
              <w:rPr>
                <w:b/>
              </w:rPr>
              <w:t>Ņemts vērā / ņemts vērā daļēji / nav ņemts vērā</w:t>
            </w:r>
          </w:p>
        </w:tc>
        <w:tc>
          <w:tcPr>
            <w:tcW w:w="4056" w:type="dxa"/>
            <w:shd w:val="clear" w:color="auto" w:fill="FFFFFF"/>
            <w:noWrap/>
            <w:tcMar>
              <w:top w:w="75" w:type="dxa"/>
              <w:left w:w="75" w:type="dxa"/>
              <w:bottom w:w="75" w:type="dxa"/>
              <w:right w:w="75" w:type="dxa"/>
            </w:tcMar>
            <w:vAlign w:val="center"/>
          </w:tcPr>
          <w:p w14:paraId="52423E27" w14:textId="77777777" w:rsidR="00FF19C6" w:rsidRDefault="00AE48C0">
            <w:pPr>
              <w:jc w:val="center"/>
            </w:pPr>
            <w:r>
              <w:rPr>
                <w:b/>
              </w:rPr>
              <w:t>Skaidrojums, kādā veidā viedoklis / priekšlikums / iebildums ir ņemts vērā vai ņemts vērā daļēji,</w:t>
            </w:r>
            <w:r>
              <w:rPr>
                <w:b/>
              </w:rPr>
              <w:t xml:space="preserve"> vai pamatojums, ja viedoklis / priekšlikums / iebildums nav ņemts vērā</w:t>
            </w:r>
          </w:p>
        </w:tc>
      </w:tr>
      <w:tr w:rsidR="00FF19C6" w14:paraId="66057BD6" w14:textId="77777777">
        <w:tc>
          <w:tcPr>
            <w:tcW w:w="750" w:type="dxa"/>
            <w:shd w:val="clear" w:color="auto" w:fill="FFFFFF"/>
            <w:noWrap/>
            <w:tcMar>
              <w:top w:w="75" w:type="dxa"/>
              <w:left w:w="75" w:type="dxa"/>
              <w:bottom w:w="75" w:type="dxa"/>
              <w:right w:w="75" w:type="dxa"/>
            </w:tcMar>
            <w:vAlign w:val="center"/>
          </w:tcPr>
          <w:p w14:paraId="77DB6D15" w14:textId="77777777" w:rsidR="00FF19C6" w:rsidRDefault="00AE48C0">
            <w:pPr>
              <w:jc w:val="center"/>
            </w:pPr>
            <w:bookmarkStart w:id="1" w:name="_Hlk202181014"/>
            <w:r>
              <w:t>1.</w:t>
            </w:r>
          </w:p>
        </w:tc>
        <w:tc>
          <w:tcPr>
            <w:tcW w:w="4055" w:type="dxa"/>
            <w:shd w:val="clear" w:color="auto" w:fill="FFFFFF"/>
            <w:noWrap/>
            <w:tcMar>
              <w:top w:w="75" w:type="dxa"/>
              <w:left w:w="75" w:type="dxa"/>
              <w:bottom w:w="75" w:type="dxa"/>
              <w:right w:w="75" w:type="dxa"/>
            </w:tcMar>
            <w:vAlign w:val="center"/>
          </w:tcPr>
          <w:p w14:paraId="37F4C893" w14:textId="77777777" w:rsidR="00FF19C6" w:rsidRDefault="00AE48C0">
            <w:pPr>
              <w:jc w:val="left"/>
            </w:pPr>
            <w:r>
              <w:t>*Fiziska persona</w:t>
            </w:r>
          </w:p>
        </w:tc>
        <w:tc>
          <w:tcPr>
            <w:tcW w:w="4056" w:type="dxa"/>
            <w:shd w:val="clear" w:color="auto" w:fill="FFFFFF"/>
            <w:noWrap/>
            <w:tcMar>
              <w:top w:w="75" w:type="dxa"/>
              <w:left w:w="75" w:type="dxa"/>
              <w:bottom w:w="75" w:type="dxa"/>
              <w:right w:w="75" w:type="dxa"/>
            </w:tcMar>
            <w:vAlign w:val="center"/>
          </w:tcPr>
          <w:p w14:paraId="44BF7250" w14:textId="77777777" w:rsidR="00FF19C6" w:rsidRDefault="00AE48C0">
            <w:pPr>
              <w:jc w:val="left"/>
            </w:pPr>
            <w:r>
              <w:t>163.2. vēja elektrostacijām, kuru jauda ir lielāka par 2 MW, attālums no tuvākās plānotās vēja elektrostacijas un vēja parka robežas līdz dzīvojamo un publisko ēku</w:t>
            </w:r>
            <w:r>
              <w:t xml:space="preserve"> apbūves  un sabiedriskas lietošanas teritoriju (tai skaitā, bet ne tikai parku, peldvietu, veselības taku, ceļu utt) nekustamā īpašuma kadastra robežām ir vismaz  desmit reizes lielāks nekā vēja elektrostacijas maksimālais augstums;</w:t>
            </w:r>
            <w:r>
              <w:br/>
              <w:t>2020.gadā, noņemot apr</w:t>
            </w:r>
            <w:r>
              <w:t xml:space="preserve">obežojumus VES, bija dublēšanās ar drošības </w:t>
            </w:r>
            <w:r>
              <w:lastRenderedPageBreak/>
              <w:t>aizsargjoslām ap VES Aizsargjoslu likumā noteikto. Tā kā 2022.gada Aizsargjoslu likuma grozījumi anulēja visas aizsargjoslas ap VES, tad šobrīd nav normatīvo aitu, kas regulē šo jomu. Līdz specifisku normatīvo ak</w:t>
            </w:r>
            <w:r>
              <w:t>tu vai grozījumu Aizsargjoslu likumā izstrādei, ir jāatjauno pastiprināta norma šajos Noteikumos.</w:t>
            </w:r>
            <w:r>
              <w:br/>
              <w:t>Labot 163.3 uz" lai aizsargātu putnu sugas vai dabas vērtības no vēja elektrostaciju un vēja parku ietekmes, vēja elektrostacijas izvieto ne tuvāk par 2 km no</w:t>
            </w:r>
            <w:r>
              <w:t xml:space="preserve"> NATURA 2000 teritorijām un mikroliegumiem, kas noteikti putnu sugu aizsardzībai, bet no pārējām NATURA 2000 teritorijām – ne tuvāk par 500, precizējot nosacījumus un, ja nepieciešams, lielāku minimālo pieļaujamo attālumu vēja elektrostaciju izvietošanai a</w:t>
            </w:r>
            <w:r>
              <w:t>tbilstoši ietekmes uz vidi novērtējumam".</w:t>
            </w:r>
            <w:r>
              <w:br/>
              <w:t xml:space="preserve">Papildināt ar 163.6.  izvērtē vēja </w:t>
            </w:r>
            <w:r>
              <w:lastRenderedPageBreak/>
              <w:t>elektrostaciju un vēja parku ietekmi uz ainavu un vizuālo piesārņojumu apdzīvoto vietu tuvumā, ņemot vērā sabiedrības piekļuvi neskartai videi un vizuāli harmoniskai ainavai, kā a</w:t>
            </w:r>
            <w:r>
              <w:t>rī iespējamās sekas uz teritorijas tūrisma, kultūras, dabas un rekreācijas potenciālu un dzīves kvalitāti;</w:t>
            </w:r>
            <w:r>
              <w:br/>
            </w:r>
          </w:p>
        </w:tc>
        <w:tc>
          <w:tcPr>
            <w:tcW w:w="1650" w:type="dxa"/>
            <w:shd w:val="clear" w:color="auto" w:fill="FFFFFF"/>
            <w:noWrap/>
            <w:tcMar>
              <w:top w:w="75" w:type="dxa"/>
              <w:left w:w="75" w:type="dxa"/>
              <w:bottom w:w="75" w:type="dxa"/>
              <w:right w:w="75" w:type="dxa"/>
            </w:tcMar>
            <w:vAlign w:val="center"/>
          </w:tcPr>
          <w:p w14:paraId="7F9148C4" w14:textId="75969AD3" w:rsidR="00FF19C6" w:rsidRDefault="00D94AD2">
            <w:pPr>
              <w:jc w:val="left"/>
            </w:pPr>
            <w:r>
              <w:lastRenderedPageBreak/>
              <w:t xml:space="preserve">Nav ņemts vērā. </w:t>
            </w:r>
          </w:p>
        </w:tc>
        <w:tc>
          <w:tcPr>
            <w:tcW w:w="4056" w:type="dxa"/>
            <w:shd w:val="clear" w:color="auto" w:fill="FFFFFF"/>
            <w:noWrap/>
            <w:tcMar>
              <w:top w:w="75" w:type="dxa"/>
              <w:left w:w="75" w:type="dxa"/>
              <w:bottom w:w="75" w:type="dxa"/>
              <w:right w:w="75" w:type="dxa"/>
            </w:tcMar>
            <w:vAlign w:val="center"/>
          </w:tcPr>
          <w:p w14:paraId="512F56F2" w14:textId="31625A10" w:rsidR="00D94AD2" w:rsidRDefault="00D94AD2">
            <w:pPr>
              <w:jc w:val="left"/>
            </w:pPr>
            <w:r>
              <w:t>Zemkopības ministrijas sagatavotais noteikumu projekts “</w:t>
            </w:r>
            <w:r w:rsidRPr="00D94AD2">
              <w:t>Grozījums Ministru kabineta 2013. gada 30. aprīļa noteikumos Nr. 240 "Vispārīgie teritorijas plānošanas, izmantošanas un apbūves noteikumi"</w:t>
            </w:r>
            <w:r>
              <w:t xml:space="preserve">” attiecas uz kritērijiem, kuri jāņem vērā nosakot </w:t>
            </w:r>
            <w:r w:rsidRPr="00D94AD2">
              <w:t>minimālos attālumus no tuvākās esošās dzīvojamās ēkas vai publiskās būves līdz lauksaimniecības dzīvnieku turēšanas būvei</w:t>
            </w:r>
            <w:r>
              <w:t>.</w:t>
            </w:r>
          </w:p>
          <w:p w14:paraId="232293D4" w14:textId="49E71103" w:rsidR="00D94AD2" w:rsidRDefault="00D94AD2">
            <w:pPr>
              <w:jc w:val="left"/>
            </w:pPr>
            <w:r>
              <w:t xml:space="preserve">Tā kā iesniegtais priekšlikums attiecas uz prasībām, kādas būtu jāpiemēro vēja elektrostaciju </w:t>
            </w:r>
            <w:r>
              <w:lastRenderedPageBreak/>
              <w:t xml:space="preserve">izbūves procesā un šis jautājums nav Zemkopības ministrijas kompetencē, tas ir pārsūtīts izskatīšanai </w:t>
            </w:r>
            <w:bookmarkStart w:id="2" w:name="OLE_LINK2"/>
            <w:bookmarkStart w:id="3" w:name="OLE_LINK1"/>
            <w:r w:rsidRPr="00D94AD2">
              <w:t>Viedās administrācijas un reģionālās attīstības ministrija</w:t>
            </w:r>
            <w:r>
              <w:t xml:space="preserve">i, </w:t>
            </w:r>
            <w:r w:rsidRPr="00D94AD2">
              <w:t>Klimata un enerģētikas ministrija</w:t>
            </w:r>
            <w:r>
              <w:t>i un Ekonomikas ministrijai</w:t>
            </w:r>
            <w:bookmarkEnd w:id="2"/>
            <w:r>
              <w:t>.</w:t>
            </w:r>
            <w:bookmarkEnd w:id="3"/>
          </w:p>
          <w:p w14:paraId="03A18204" w14:textId="15ADB7C5" w:rsidR="00FF19C6" w:rsidRDefault="00FF19C6">
            <w:pPr>
              <w:jc w:val="left"/>
            </w:pPr>
          </w:p>
        </w:tc>
      </w:tr>
      <w:bookmarkEnd w:id="1"/>
      <w:tr w:rsidR="00FF19C6" w14:paraId="3CF1CEE8" w14:textId="77777777">
        <w:tc>
          <w:tcPr>
            <w:tcW w:w="750" w:type="dxa"/>
            <w:shd w:val="clear" w:color="auto" w:fill="FFFFFF"/>
            <w:noWrap/>
            <w:tcMar>
              <w:top w:w="75" w:type="dxa"/>
              <w:left w:w="75" w:type="dxa"/>
              <w:bottom w:w="75" w:type="dxa"/>
              <w:right w:w="75" w:type="dxa"/>
            </w:tcMar>
            <w:vAlign w:val="center"/>
          </w:tcPr>
          <w:p w14:paraId="7B6CBD45" w14:textId="77777777" w:rsidR="00FF19C6" w:rsidRDefault="00AE48C0">
            <w:pPr>
              <w:jc w:val="center"/>
            </w:pPr>
            <w:r>
              <w:lastRenderedPageBreak/>
              <w:t>2.</w:t>
            </w:r>
          </w:p>
        </w:tc>
        <w:tc>
          <w:tcPr>
            <w:tcW w:w="4055" w:type="dxa"/>
            <w:shd w:val="clear" w:color="auto" w:fill="FFFFFF"/>
            <w:noWrap/>
            <w:tcMar>
              <w:top w:w="75" w:type="dxa"/>
              <w:left w:w="75" w:type="dxa"/>
              <w:bottom w:w="75" w:type="dxa"/>
              <w:right w:w="75" w:type="dxa"/>
            </w:tcMar>
            <w:vAlign w:val="center"/>
          </w:tcPr>
          <w:p w14:paraId="15A5FBED" w14:textId="77777777" w:rsidR="00FF19C6" w:rsidRDefault="00AE48C0">
            <w:pPr>
              <w:jc w:val="left"/>
            </w:pPr>
            <w:bookmarkStart w:id="4" w:name="OLE_LINK12"/>
            <w:r>
              <w:t>Biedrība Drosme darīt</w:t>
            </w:r>
            <w:bookmarkEnd w:id="4"/>
            <w:r>
              <w:t>, Kristaps Veide</w:t>
            </w:r>
          </w:p>
        </w:tc>
        <w:tc>
          <w:tcPr>
            <w:tcW w:w="4056" w:type="dxa"/>
            <w:shd w:val="clear" w:color="auto" w:fill="FFFFFF"/>
            <w:noWrap/>
            <w:tcMar>
              <w:top w:w="75" w:type="dxa"/>
              <w:left w:w="75" w:type="dxa"/>
              <w:bottom w:w="75" w:type="dxa"/>
              <w:right w:w="75" w:type="dxa"/>
            </w:tcMar>
            <w:vAlign w:val="center"/>
          </w:tcPr>
          <w:p w14:paraId="1BBE7051" w14:textId="7483F3BB" w:rsidR="00FF19C6" w:rsidRDefault="00AE48C0">
            <w:pPr>
              <w:jc w:val="left"/>
            </w:pPr>
            <w:r>
              <w:rPr>
                <w:b/>
              </w:rPr>
              <w:t> Priekšlikumi grozījumiem Ministru kabineta 2013. gada 30. aprīļa noteikumos Nr. 240 "Vispārīgie teritorijas plānošanas, izmantošanas un apbūves noteikumi"</w:t>
            </w:r>
            <w:r>
              <w:br/>
            </w:r>
            <w:r>
              <w:br/>
            </w:r>
            <w:r>
              <w:br/>
            </w:r>
            <w:r>
              <w:br/>
            </w:r>
            <w:r>
              <w:rPr>
                <w:b/>
              </w:rPr>
              <w:t>Eso</w:t>
            </w:r>
            <w:r>
              <w:rPr>
                <w:b/>
              </w:rPr>
              <w:t>šā noteikumu punktu versija -</w:t>
            </w:r>
            <w:r>
              <w:br/>
              <w:t xml:space="preserve">163.2. vēja elektrostacijām, kuru jauda ir lielāka par 2 MW, attālums no tuvākās plānotās vēja elektrostacijas un vēja parka robežas līdz dzīvojamām un </w:t>
            </w:r>
            <w:r>
              <w:lastRenderedPageBreak/>
              <w:t>publiskām ēkām ir vismaz 800 m;</w:t>
            </w:r>
            <w:r>
              <w:br/>
            </w:r>
            <w:r>
              <w:br/>
            </w:r>
            <w:r>
              <w:rPr>
                <w:b/>
              </w:rPr>
              <w:t>Priekšlikumi grozījumiem -</w:t>
            </w:r>
            <w:r>
              <w:br/>
              <w:t>163.2. vēja el</w:t>
            </w:r>
            <w:r>
              <w:t>ektrostacijām, kuru jauda ir lielāka par 2 MW, attālums no tuvākās plānotās vēja elektrostacijas un vēja parka robežas līdz dzīvojamo un publisko ēku apbūves  un sabiedriskas lietošanas teritoriju (tai skaitā, bet ne tikai parku, peldvietu, veselības taku,</w:t>
            </w:r>
            <w:r>
              <w:t xml:space="preserve"> ceļu utt) nekustamā īpašuma kadastra robežām ir vismaz  desmit reizes lielāks nekā vēja elektrostacijas maksimālais augstums;</w:t>
            </w:r>
            <w:r>
              <w:br/>
            </w:r>
            <w:r>
              <w:br/>
            </w:r>
            <w:r>
              <w:rPr>
                <w:b/>
              </w:rPr>
              <w:t>Piedāvāto grozījumu pamatojums  -</w:t>
            </w:r>
            <w:r>
              <w:br/>
              <w:t>Regulējums par attāluma ievērošanu līdz īpašuma robežām nevis ēkai, ir  nepieciešams, lai aizs</w:t>
            </w:r>
            <w:r>
              <w:t xml:space="preserve">argātu ne tikai esošo apbūvi, bet arī potenciālo īpašuma izmantošanu nākotnē, kas šobrīd tiek netaisnīgi ierobežota. Šāda prasība nodrošina īpašuma tiesību neaizskaramību, kā to garantē </w:t>
            </w:r>
            <w:r>
              <w:lastRenderedPageBreak/>
              <w:t>Satversmes 105. pants, kā arī cilvēka tiesības uz labvēlīgu dzīves vid</w:t>
            </w:r>
            <w:r>
              <w:t>i saskaņā ar Satversmes 115. pantu.</w:t>
            </w:r>
            <w:r>
              <w:br/>
              <w:t>Vairākās Eiropas valstīs – piemēram, Vācijā, Austrijā, Polijā – tiek piemērots princips “desmitkāršs augstums jeb 10x vēja turbīnas augstums” (ieskaitot spārna galējo punktu), lai noteiktu minimālo attālumu līdz apdzīvot</w:t>
            </w:r>
            <w:r>
              <w:t>ai vietai. Tas nozīmē, ka 250 m augstai turbīnai attālums līdz dzīvojamai ēkai būtu vismaz 2500 m. Šis princips kalpo kā būtisks cilvēku veselības un dabas ainavas aizsardzības instruments.</w:t>
            </w:r>
            <w:r>
              <w:br/>
              <w:t>Latvijā līdz šo noteikumu 2020.gada 13.oktobra grozījumu veikšanai</w:t>
            </w:r>
            <w:r>
              <w:t>, bija spēkā prasība ievērot pieckāršēju augstumu, kas bija pamatots drošības apsvērumos kā attālums, kurā avārijas gadījumā, ir statistiski augsts atlūzu izkliedes risks. Arī nesenie notikumi pierāda, ka pieckārtēja augstuma attālumā ir augsts risks atlūz</w:t>
            </w:r>
            <w:r>
              <w:t xml:space="preserve">u izkliedei un </w:t>
            </w:r>
            <w:r>
              <w:lastRenderedPageBreak/>
              <w:t>potenciāliem bojājumiem un veselības riskiem avārijas situācijās. Līdz ar to aicinām noteikt minimālo attālumu no VES līdz apbūvei lielāku par paaugstināta riska teritoriju.</w:t>
            </w:r>
            <w:r>
              <w:br/>
            </w:r>
            <w:r>
              <w:br/>
              <w:t>Tā kā Latvijā nedz šajos noteikumos, nedz citur normatīvajos aktos</w:t>
            </w:r>
            <w:r>
              <w:t xml:space="preserve"> nav iekļauts neviens kritērijs par cilvēka veselības aizsardzību, psihoemocionālo ietekmi vai ilgtspējīgas dzīves vides nodrošināšanu un šāds iztrūkums ir būtisks un neatbilst starptautiski labai praksei, aicinām noteikt maksimālo pasaules praksē piemērot</w:t>
            </w:r>
            <w:r>
              <w:t xml:space="preserve">o attālumu (desmitkārtējs turbīnas augstums līdz apdzīvotu vai sabiedrisku ēku, un sabiedriskas lietošanas teritoriju (tai skaitā, bet ne tikai parku, peldvietu, veselības taku, ceļu utt) kadastra robežām), līdz tiks izstrādāti normatīvie akti, kas regulē </w:t>
            </w:r>
            <w:r>
              <w:t>būtiskus VES ietekmes aspektus:</w:t>
            </w:r>
            <w:r>
              <w:br/>
            </w:r>
            <w:r>
              <w:lastRenderedPageBreak/>
              <w:t>mirgošanu jeb stroboskopisko efektu,</w:t>
            </w:r>
            <w:r>
              <w:br/>
              <w:t>infraskaņas un zemfrekvenču trokšņu ietekmi,</w:t>
            </w:r>
            <w:r>
              <w:br/>
              <w:t>vibrācijas un citu ilgtermiņa darbības radīto diskomfortu cilvēkiem un dzīvniekiem.</w:t>
            </w:r>
            <w:r>
              <w:br/>
              <w:t>Bez šādu normatīvu esamības iedzīvotāju veselība un dzīves</w:t>
            </w:r>
            <w:r>
              <w:t xml:space="preserve"> kvalitāte tiek apdraudēta. Piedāvātā grozījumu norma daļēji kompensē īpašu regulējumu trūkumu.</w:t>
            </w:r>
            <w:r>
              <w:br/>
            </w:r>
            <w:r>
              <w:br/>
            </w:r>
            <w:r>
              <w:br/>
              <w:t xml:space="preserve">Vēršam uzmanību, ka vairākās valstīs – piemēram, Dānijā, Somijā un Kanādā – vēja elektrostaciju izvietojums netiek regulēts tikai ar noteiktu attālumu metros </w:t>
            </w:r>
            <w:r>
              <w:t xml:space="preserve">vai kilometros, bet gan balstoties uz pieļaujamo trokšņa līmeni, īpaši izceļot infraskaņas un zemas frekvences trokšņu ietekmi uz cilvēku veselību. Šāda pieeja nozīmē, ka vēja turbīnu izvietojumu vērtē atbilstoši faktiskajai ietekmei uz vidi un </w:t>
            </w:r>
            <w:r>
              <w:lastRenderedPageBreak/>
              <w:t>veselību, n</w:t>
            </w:r>
            <w:r>
              <w:t>evis pēc fiksēta attāluma. Praksē tas bieži nozīmē, ka, lai nepārsniegtu pieļaujamos trokšņa līmeņus, turbīnas nevar tikt izvietotas tuvāk par 3–10 km no dzīvojamām teritorijām. Turklāt šajās valstīs obligāts ir arī kumulatīvās ietekmes novērtējums – gan k</w:t>
            </w:r>
            <w:r>
              <w:t>onkrētā vēja parka iekšienē, gan plašākā reģionālā kontekstā, ņemot vērā vairāku esošo vai plānoto parku ietekmi kopumā. Šāda prakse ir būtiska, lai novērstu pārmērīgu ietekmi uz vidi, veselību un ainavu, kas var veidoties, uzkrājoties vairākām atsevišķi v</w:t>
            </w:r>
            <w:r>
              <w:t>ērtētām, bet faktiski saistītām VES sistēmām.</w:t>
            </w:r>
            <w:r>
              <w:br/>
              <w:t>Vēršam uzmanību, ka galvenais arguments Noteikumu izmaiņām 2020.gadā, noņemot aprobežojumus VES, bija dublēšanās ar drošības aizsargjoslām ap VES Aizsargjoslu likumā noteikto. Tā kā 2022.gada Aizsargjoslu likum</w:t>
            </w:r>
            <w:r>
              <w:t xml:space="preserve">a grozījumi anulēja visas aizsargjoslas ap VES, tad šobrīd </w:t>
            </w:r>
            <w:r>
              <w:lastRenderedPageBreak/>
              <w:t>nav normatīvo aitu, kas regulē šo jomu. Līdz specifisku normatīvo aktu vai grozījumu Aizsargjoslu likumā izstrādei, ir jāatjauno pastiprināta norma šajos Noteikumos.</w:t>
            </w:r>
            <w:r>
              <w:br/>
              <w:t>----------</w:t>
            </w:r>
            <w:r>
              <w:br/>
            </w:r>
            <w:r>
              <w:br/>
            </w:r>
            <w:r>
              <w:br/>
            </w:r>
            <w:r>
              <w:rPr>
                <w:b/>
              </w:rPr>
              <w:t>Esošā punkta redak</w:t>
            </w:r>
            <w:r>
              <w:rPr>
                <w:b/>
              </w:rPr>
              <w:t>cija -</w:t>
            </w:r>
            <w:r>
              <w:br/>
              <w:t>163.3. lai aizsargātu putnu sugas vai dabas vērtības no vēja elektrostaciju un vēja parku ietekmes, nosacījumus un minimālo pieļaujamo attālumu vēja elektrostaciju izvietošanai nosaka atbilstoši ietekmes uz vidi novērtējumam;</w:t>
            </w:r>
            <w:r>
              <w:br/>
            </w:r>
            <w:r>
              <w:br/>
            </w:r>
            <w:r>
              <w:rPr>
                <w:b/>
              </w:rPr>
              <w:t>Piedāvātā noteikumu pu</w:t>
            </w:r>
            <w:r>
              <w:rPr>
                <w:b/>
              </w:rPr>
              <w:t>nkta redakcija -</w:t>
            </w:r>
            <w:r>
              <w:br/>
              <w:t xml:space="preserve">163.3. lai aizsargātu putnu sugas vai dabas vērtības no vēja elektrostaciju un vēja parku ietekmes, vēja elektrostacijas izvieto ne tuvāk par 2 km no NATURA 2000 teritorijām un mikroliegumiem, kas noteikti </w:t>
            </w:r>
            <w:r>
              <w:lastRenderedPageBreak/>
              <w:t>putnu sugu aizsardzībai, bet no p</w:t>
            </w:r>
            <w:r>
              <w:t>ārējām NATURA 2000 teritorijām – ne tuvāk par 500, precizējot nosacījumus un, ja nepieciešams, lielāku minimālo pieļaujamo attālumu vēja elektrostaciju izvietošanai atbilstoši ietekmes uz vidi novērtējumam;</w:t>
            </w:r>
            <w:r>
              <w:br/>
            </w:r>
            <w:r>
              <w:br/>
            </w:r>
            <w:r>
              <w:rPr>
                <w:b/>
              </w:rPr>
              <w:t>Piedāvāto grozījumu pamatojums - </w:t>
            </w:r>
            <w:r>
              <w:br/>
              <w:t>Latvijā līdz š</w:t>
            </w:r>
            <w:r>
              <w:t>o noteikumu 2020.gada 13.oktobra grozījumu veikšanai, bija spēkā prasība ievērot minimālos attālumus no mikroliegumiem un NATURA 2000 teritorijām. Pēdējo gadu pieredze Latvijā ar turbīnu darbības uzraudzības trūkumu un VES turbīnu radītajiem zaudējumiem La</w:t>
            </w:r>
            <w:r>
              <w:t>tvijas ornitofaunai, liecina, ka regulējumam jātiek atjaunotam vismaz tādā pašā apjomā. </w:t>
            </w:r>
            <w:r>
              <w:br/>
            </w:r>
            <w:r>
              <w:br/>
              <w:t>---------</w:t>
            </w:r>
            <w:r>
              <w:br/>
            </w:r>
            <w:r>
              <w:rPr>
                <w:b/>
              </w:rPr>
              <w:t>Piedāvātie grozījumi - </w:t>
            </w:r>
            <w:r>
              <w:br/>
            </w:r>
            <w:r>
              <w:lastRenderedPageBreak/>
              <w:t>Papildināt noteikumus ar jaunu </w:t>
            </w:r>
            <w:r>
              <w:br/>
              <w:t>163.6.punktu  163.6.  izvērtē vēja elektrostaciju un vēja parku ietekmi uz ainavu</w:t>
            </w:r>
            <w:r>
              <w:br/>
              <w:t xml:space="preserve">ainavu un vizuālo </w:t>
            </w:r>
            <w:r>
              <w:t>piesārņojumu apdzīvoto vietu tuvumā, ņemot vērā sabiedrības piekļuvi neskartai videi un vizuāli harmoniskai ainavai, kā arī iespējamās sekas uz teritorijas tūrisma, kultūras, dabas un rekreācijas potenciālu un dzīves kvalitāti;</w:t>
            </w:r>
            <w:r>
              <w:br/>
            </w:r>
            <w:r>
              <w:br/>
            </w:r>
            <w:r>
              <w:br/>
              <w:t>--------</w:t>
            </w:r>
            <w:r>
              <w:br/>
            </w:r>
            <w:r>
              <w:rPr>
                <w:b/>
              </w:rPr>
              <w:t>Piedāvātie grozīj</w:t>
            </w:r>
            <w:r>
              <w:rPr>
                <w:b/>
              </w:rPr>
              <w:t>umi -</w:t>
            </w:r>
            <w:r>
              <w:br/>
              <w:t>Papildināt ar jaunu 163.7.punktu163.7.  izvērtē vēja elektrostaciju un vēja parku kumulatīvo ietekmi, kas ietver:</w:t>
            </w:r>
            <w:r>
              <w:br/>
              <w:t>plānotā vēja parka kopējo ietekmi uz vidi, cilvēku veselību, ainavu, trokšņu fonu, bioloģisko daudzveidību un kultūrvēsturiskām vērtībām</w:t>
            </w:r>
            <w:r>
              <w:t>;</w:t>
            </w:r>
            <w:r>
              <w:br/>
              <w:t xml:space="preserve">kumulatīvo ietekmi plašākā teritorijā, ja tuvumā vai tajā pašā reģionā paredzēti vairāki vēja </w:t>
            </w:r>
            <w:r>
              <w:lastRenderedPageBreak/>
              <w:t>parki vai jau darbojas esošas vēja elektrostacijas;</w:t>
            </w:r>
            <w:r>
              <w:br/>
              <w:t>ilgtermiņa kumulatīvo slodzi, kas var rasties gan ekspluatācijas, gan potenciālā attīstības paplašināšanas p</w:t>
            </w:r>
            <w:r>
              <w:t>eriodā.</w:t>
            </w:r>
            <w:r>
              <w:br/>
              <w:t>Sakarā ar to, ka neviens augstāka līmeņa plānošanas dokuements nav vērtējis VES kumulatīvās ietekmes, tas jādara IVN procesā un teritorijas plānošanas procesā, lai nodrošinātu iedzīvotāju intereses un sabalansētu tās ar uzņēmējdarbības vajadzībām.</w:t>
            </w:r>
            <w:r>
              <w:br/>
            </w:r>
            <w:r>
              <w:t>Līdz kvalitatīva augstāka līmeņa kumulatīvo ietekmju vērtējuma izstrādei un apstiprināšanai, prasām noteikt šādu pienākumu šajos noteikumos.</w:t>
            </w:r>
            <w:r>
              <w:br/>
            </w:r>
            <w:r>
              <w:br/>
              <w:t>--------</w:t>
            </w:r>
            <w:r>
              <w:br/>
            </w:r>
            <w:r>
              <w:rPr>
                <w:b/>
              </w:rPr>
              <w:t>Esošā noteikumu redakcija - </w:t>
            </w:r>
            <w:r>
              <w:br/>
              <w:t xml:space="preserve">163.1 Šo noteikumu 163. punktā minētos nosacījumus ievēro arī gadījumos, ja </w:t>
            </w:r>
            <w:r>
              <w:t>esošo vēja elektrostaciju un vēja parku tuvumā tiek plānota jauna dzīvojamā vai publiskā apbūve.</w:t>
            </w:r>
            <w:r>
              <w:br/>
            </w:r>
            <w:r>
              <w:lastRenderedPageBreak/>
              <w:br/>
            </w:r>
            <w:r>
              <w:rPr>
                <w:b/>
              </w:rPr>
              <w:t>Piedāvātā grozījumu redakcija-</w:t>
            </w:r>
            <w:r>
              <w:br/>
              <w:t>163.1 Šo noteikumu 163. punktā minētos nosacījumus ievēro arī gadījumos, ja esošo vēja elektrostaciju un vēja parku tuvumā tiek</w:t>
            </w:r>
            <w:r>
              <w:t xml:space="preserve"> plānota jauna dzīvojamā vai publiskā apbūve. VES īpašniekam tiek noteikts pienākums kompensēt šī noteikuma apgrūtinājumu radītos zaudējumus. MK iz</w:t>
            </w:r>
            <w:r w:rsidR="00CC03F7">
              <w:t>s</w:t>
            </w:r>
            <w:r>
              <w:t>trādā noteikumus kompensēšanas kārtībai.</w:t>
            </w:r>
            <w:r>
              <w:br/>
            </w:r>
            <w:r>
              <w:br/>
            </w:r>
            <w:r>
              <w:br/>
            </w:r>
          </w:p>
        </w:tc>
        <w:tc>
          <w:tcPr>
            <w:tcW w:w="1650" w:type="dxa"/>
            <w:shd w:val="clear" w:color="auto" w:fill="FFFFFF"/>
            <w:noWrap/>
            <w:tcMar>
              <w:top w:w="75" w:type="dxa"/>
              <w:left w:w="75" w:type="dxa"/>
              <w:bottom w:w="75" w:type="dxa"/>
              <w:right w:w="75" w:type="dxa"/>
            </w:tcMar>
            <w:vAlign w:val="center"/>
          </w:tcPr>
          <w:p w14:paraId="73E79642" w14:textId="7945A1F1" w:rsidR="00FF19C6" w:rsidRDefault="00D94AD2">
            <w:pPr>
              <w:jc w:val="left"/>
            </w:pPr>
            <w:r>
              <w:lastRenderedPageBreak/>
              <w:t>Nav ņemts vērā.</w:t>
            </w:r>
          </w:p>
        </w:tc>
        <w:tc>
          <w:tcPr>
            <w:tcW w:w="4056" w:type="dxa"/>
            <w:shd w:val="clear" w:color="auto" w:fill="FFFFFF"/>
            <w:noWrap/>
            <w:tcMar>
              <w:top w:w="75" w:type="dxa"/>
              <w:left w:w="75" w:type="dxa"/>
              <w:bottom w:w="75" w:type="dxa"/>
              <w:right w:w="75" w:type="dxa"/>
            </w:tcMar>
            <w:vAlign w:val="center"/>
          </w:tcPr>
          <w:p w14:paraId="5E357BCD" w14:textId="77777777" w:rsidR="00D94AD2" w:rsidRDefault="00D94AD2" w:rsidP="00D94AD2">
            <w:pPr>
              <w:jc w:val="left"/>
            </w:pPr>
            <w:r>
              <w:t>Zemkopības ministrijas sagatavotais noteikumu projekts “Grozījums Ministru kabineta 2013. gada 30. aprīļa noteikumos Nr. 240 "Vispārīgie teritorijas plānošanas, izmantošanas un apbūves noteikumi"” attiecas uz kritērijiem, kuri jāņem vērā nosakot minimālos attālumus no tuvākās esošās dzīvojamās ēkas vai publiskās būves līdz lauksaimniecības dzīvnieku turēšanas būvei.</w:t>
            </w:r>
          </w:p>
          <w:p w14:paraId="44DB55FE" w14:textId="77777777" w:rsidR="00D94AD2" w:rsidRDefault="00D94AD2" w:rsidP="00D94AD2">
            <w:pPr>
              <w:jc w:val="left"/>
            </w:pPr>
            <w:r>
              <w:t xml:space="preserve">Tā kā iesniegtais priekšlikums attiecas uz prasībām, kādas būtu jāpiemēro vēja elektrostaciju </w:t>
            </w:r>
            <w:r>
              <w:lastRenderedPageBreak/>
              <w:t>izbūves procesā un šis jautājums nav Zemkopības ministrijas kompetencē, tas ir pārsūtīts izskatīšanai Viedās administrācijas un reģionālās attīstības ministrijai, Klimata un enerģētikas ministrijai un Ekonomikas ministrijai.</w:t>
            </w:r>
          </w:p>
          <w:p w14:paraId="167C6315" w14:textId="77777777" w:rsidR="00FF19C6" w:rsidRDefault="00FF19C6" w:rsidP="00D94AD2">
            <w:pPr>
              <w:jc w:val="left"/>
            </w:pPr>
          </w:p>
        </w:tc>
      </w:tr>
      <w:tr w:rsidR="00CC03F7" w14:paraId="065D1FA1" w14:textId="77777777">
        <w:tc>
          <w:tcPr>
            <w:tcW w:w="750" w:type="dxa"/>
            <w:shd w:val="clear" w:color="auto" w:fill="FFFFFF"/>
            <w:noWrap/>
            <w:tcMar>
              <w:top w:w="75" w:type="dxa"/>
              <w:left w:w="75" w:type="dxa"/>
              <w:bottom w:w="75" w:type="dxa"/>
              <w:right w:w="75" w:type="dxa"/>
            </w:tcMar>
            <w:vAlign w:val="center"/>
          </w:tcPr>
          <w:p w14:paraId="0FC1CB3B" w14:textId="4FED4781" w:rsidR="00CC03F7" w:rsidRDefault="00CC03F7">
            <w:pPr>
              <w:jc w:val="center"/>
            </w:pPr>
            <w:bookmarkStart w:id="5" w:name="_Hlk202182714"/>
            <w:r>
              <w:lastRenderedPageBreak/>
              <w:t>3.</w:t>
            </w:r>
          </w:p>
        </w:tc>
        <w:tc>
          <w:tcPr>
            <w:tcW w:w="4055" w:type="dxa"/>
            <w:shd w:val="clear" w:color="auto" w:fill="FFFFFF"/>
            <w:noWrap/>
            <w:tcMar>
              <w:top w:w="75" w:type="dxa"/>
              <w:left w:w="75" w:type="dxa"/>
              <w:bottom w:w="75" w:type="dxa"/>
              <w:right w:w="75" w:type="dxa"/>
            </w:tcMar>
            <w:vAlign w:val="center"/>
          </w:tcPr>
          <w:p w14:paraId="189E45CA" w14:textId="76A39452" w:rsidR="00CC03F7" w:rsidRDefault="00CC03F7">
            <w:pPr>
              <w:jc w:val="left"/>
            </w:pPr>
            <w:bookmarkStart w:id="6" w:name="OLE_LINK11"/>
            <w:r w:rsidRPr="00CC03F7">
              <w:t>Latvijas Cūku audzētāju asociācija</w:t>
            </w:r>
            <w:bookmarkEnd w:id="6"/>
            <w:r w:rsidR="00692CBC">
              <w:t xml:space="preserve"> </w:t>
            </w:r>
          </w:p>
        </w:tc>
        <w:tc>
          <w:tcPr>
            <w:tcW w:w="4056" w:type="dxa"/>
            <w:shd w:val="clear" w:color="auto" w:fill="FFFFFF"/>
            <w:noWrap/>
            <w:tcMar>
              <w:top w:w="75" w:type="dxa"/>
              <w:left w:w="75" w:type="dxa"/>
              <w:bottom w:w="75" w:type="dxa"/>
              <w:right w:w="75" w:type="dxa"/>
            </w:tcMar>
            <w:vAlign w:val="center"/>
          </w:tcPr>
          <w:p w14:paraId="0AE8286F" w14:textId="7C7E048C" w:rsidR="00CC03F7" w:rsidRPr="00CC03F7" w:rsidRDefault="00CC03F7">
            <w:pPr>
              <w:jc w:val="left"/>
              <w:rPr>
                <w:bCs/>
              </w:rPr>
            </w:pPr>
            <w:bookmarkStart w:id="7" w:name="OLE_LINK14"/>
            <w:r>
              <w:rPr>
                <w:bCs/>
              </w:rPr>
              <w:t xml:space="preserve">27.07.2025. </w:t>
            </w:r>
            <w:r w:rsidRPr="00CC03F7">
              <w:rPr>
                <w:bCs/>
              </w:rPr>
              <w:t>Latvijas Cūku audzētāju asociācija</w:t>
            </w:r>
            <w:r w:rsidR="00692CBC">
              <w:rPr>
                <w:bCs/>
              </w:rPr>
              <w:t xml:space="preserve"> </w:t>
            </w:r>
            <w:r>
              <w:rPr>
                <w:bCs/>
              </w:rPr>
              <w:t xml:space="preserve">elektroniski iesūtīja </w:t>
            </w:r>
            <w:r w:rsidR="00692CBC">
              <w:rPr>
                <w:bCs/>
              </w:rPr>
              <w:t>priekšlikumu par noteikumu projekta 142.3. punkta redakcijas precizēšanu.</w:t>
            </w:r>
            <w:bookmarkEnd w:id="7"/>
          </w:p>
        </w:tc>
        <w:tc>
          <w:tcPr>
            <w:tcW w:w="1650" w:type="dxa"/>
            <w:shd w:val="clear" w:color="auto" w:fill="FFFFFF"/>
            <w:noWrap/>
            <w:tcMar>
              <w:top w:w="75" w:type="dxa"/>
              <w:left w:w="75" w:type="dxa"/>
              <w:bottom w:w="75" w:type="dxa"/>
              <w:right w:w="75" w:type="dxa"/>
            </w:tcMar>
            <w:vAlign w:val="center"/>
          </w:tcPr>
          <w:p w14:paraId="0763D9D5" w14:textId="585EDC09" w:rsidR="00CC03F7" w:rsidRDefault="00692CBC">
            <w:pPr>
              <w:jc w:val="left"/>
            </w:pPr>
            <w:r>
              <w:t xml:space="preserve">Ņemts vērā. </w:t>
            </w:r>
          </w:p>
        </w:tc>
        <w:tc>
          <w:tcPr>
            <w:tcW w:w="4056" w:type="dxa"/>
            <w:shd w:val="clear" w:color="auto" w:fill="FFFFFF"/>
            <w:noWrap/>
            <w:tcMar>
              <w:top w:w="75" w:type="dxa"/>
              <w:left w:w="75" w:type="dxa"/>
              <w:bottom w:w="75" w:type="dxa"/>
              <w:right w:w="75" w:type="dxa"/>
            </w:tcMar>
            <w:vAlign w:val="center"/>
          </w:tcPr>
          <w:p w14:paraId="1CA87A00" w14:textId="3D463AD2" w:rsidR="00CC03F7" w:rsidRDefault="00692CBC" w:rsidP="00D94AD2">
            <w:pPr>
              <w:jc w:val="left"/>
            </w:pPr>
            <w:r w:rsidRPr="00692CBC">
              <w:t>Saskaņā ar iesniegt</w:t>
            </w:r>
            <w:r w:rsidR="00883F4C">
              <w:t>o</w:t>
            </w:r>
            <w:r w:rsidRPr="00692CBC">
              <w:t xml:space="preserve"> priekšlikum</w:t>
            </w:r>
            <w:r w:rsidR="00883F4C">
              <w:t>u</w:t>
            </w:r>
            <w:r w:rsidRPr="00692CBC">
              <w:t xml:space="preserve"> ir nedaudz</w:t>
            </w:r>
            <w:r w:rsidR="00DA548C">
              <w:t xml:space="preserve"> koriģēta noteikumu projekta 142.3</w:t>
            </w:r>
            <w:r w:rsidRPr="00692CBC">
              <w:t xml:space="preserve">. </w:t>
            </w:r>
            <w:r w:rsidR="00883F4C">
              <w:t>apakš</w:t>
            </w:r>
            <w:r w:rsidRPr="00692CBC">
              <w:t>punkta redakcija.</w:t>
            </w:r>
          </w:p>
        </w:tc>
      </w:tr>
      <w:bookmarkEnd w:id="5"/>
      <w:tr w:rsidR="00692CBC" w14:paraId="660801B2" w14:textId="77777777">
        <w:tc>
          <w:tcPr>
            <w:tcW w:w="750" w:type="dxa"/>
            <w:shd w:val="clear" w:color="auto" w:fill="FFFFFF"/>
            <w:noWrap/>
            <w:tcMar>
              <w:top w:w="75" w:type="dxa"/>
              <w:left w:w="75" w:type="dxa"/>
              <w:bottom w:w="75" w:type="dxa"/>
              <w:right w:w="75" w:type="dxa"/>
            </w:tcMar>
            <w:vAlign w:val="center"/>
          </w:tcPr>
          <w:p w14:paraId="6C7B5F47" w14:textId="3A62EAB6" w:rsidR="00692CBC" w:rsidRDefault="00516919">
            <w:pPr>
              <w:jc w:val="center"/>
            </w:pPr>
            <w:r>
              <w:t>4.</w:t>
            </w:r>
          </w:p>
        </w:tc>
        <w:tc>
          <w:tcPr>
            <w:tcW w:w="4055" w:type="dxa"/>
            <w:shd w:val="clear" w:color="auto" w:fill="FFFFFF"/>
            <w:noWrap/>
            <w:tcMar>
              <w:top w:w="75" w:type="dxa"/>
              <w:left w:w="75" w:type="dxa"/>
              <w:bottom w:w="75" w:type="dxa"/>
              <w:right w:w="75" w:type="dxa"/>
            </w:tcMar>
            <w:vAlign w:val="center"/>
          </w:tcPr>
          <w:p w14:paraId="54030ECB" w14:textId="70515E2E" w:rsidR="00692CBC" w:rsidRPr="00CC03F7" w:rsidRDefault="00692CBC">
            <w:pPr>
              <w:jc w:val="left"/>
            </w:pPr>
            <w:bookmarkStart w:id="8" w:name="OLE_LINK15"/>
            <w:r w:rsidRPr="00692CBC">
              <w:t>Latvijas Apvienotā putnkopības nozares asociācija</w:t>
            </w:r>
            <w:bookmarkEnd w:id="8"/>
          </w:p>
        </w:tc>
        <w:tc>
          <w:tcPr>
            <w:tcW w:w="4056" w:type="dxa"/>
            <w:shd w:val="clear" w:color="auto" w:fill="FFFFFF"/>
            <w:noWrap/>
            <w:tcMar>
              <w:top w:w="75" w:type="dxa"/>
              <w:left w:w="75" w:type="dxa"/>
              <w:bottom w:w="75" w:type="dxa"/>
              <w:right w:w="75" w:type="dxa"/>
            </w:tcMar>
            <w:vAlign w:val="center"/>
          </w:tcPr>
          <w:p w14:paraId="145B6015" w14:textId="2B69C0F1" w:rsidR="00692CBC" w:rsidRDefault="00692CBC">
            <w:pPr>
              <w:jc w:val="left"/>
              <w:rPr>
                <w:bCs/>
              </w:rPr>
            </w:pPr>
            <w:r w:rsidRPr="00692CBC">
              <w:rPr>
                <w:bCs/>
              </w:rPr>
              <w:t>27.07.2025. Latvijas Apvienotā putnkopības nozares asociācija elektroniski iesūtīja priekšlikumu par noteikumu projekta 142.3. punkta redakcijas precizēšanu.</w:t>
            </w:r>
          </w:p>
        </w:tc>
        <w:tc>
          <w:tcPr>
            <w:tcW w:w="1650" w:type="dxa"/>
            <w:shd w:val="clear" w:color="auto" w:fill="FFFFFF"/>
            <w:noWrap/>
            <w:tcMar>
              <w:top w:w="75" w:type="dxa"/>
              <w:left w:w="75" w:type="dxa"/>
              <w:bottom w:w="75" w:type="dxa"/>
              <w:right w:w="75" w:type="dxa"/>
            </w:tcMar>
            <w:vAlign w:val="center"/>
          </w:tcPr>
          <w:p w14:paraId="1081D368" w14:textId="72AE9DF0" w:rsidR="00692CBC" w:rsidRDefault="00692CBC">
            <w:pPr>
              <w:jc w:val="left"/>
            </w:pPr>
            <w:r>
              <w:t>Ņemts vērā.</w:t>
            </w:r>
          </w:p>
        </w:tc>
        <w:tc>
          <w:tcPr>
            <w:tcW w:w="4056" w:type="dxa"/>
            <w:shd w:val="clear" w:color="auto" w:fill="FFFFFF"/>
            <w:noWrap/>
            <w:tcMar>
              <w:top w:w="75" w:type="dxa"/>
              <w:left w:w="75" w:type="dxa"/>
              <w:bottom w:w="75" w:type="dxa"/>
              <w:right w:w="75" w:type="dxa"/>
            </w:tcMar>
            <w:vAlign w:val="center"/>
          </w:tcPr>
          <w:p w14:paraId="5F980516" w14:textId="582501FE" w:rsidR="00692CBC" w:rsidRPr="00692CBC" w:rsidRDefault="00692CBC" w:rsidP="00DA548C">
            <w:pPr>
              <w:jc w:val="left"/>
            </w:pPr>
            <w:r w:rsidRPr="00692CBC">
              <w:t>Saskaņā ar iesniegt</w:t>
            </w:r>
            <w:r w:rsidR="00883F4C">
              <w:t>o</w:t>
            </w:r>
            <w:r w:rsidRPr="00692CBC">
              <w:t xml:space="preserve"> priekšlik</w:t>
            </w:r>
            <w:r w:rsidR="00883F4C">
              <w:t>umu</w:t>
            </w:r>
            <w:r w:rsidRPr="00692CBC">
              <w:t xml:space="preserve"> ir nedaudz koriģēta noteikumu projekta 14</w:t>
            </w:r>
            <w:r w:rsidR="00DA548C">
              <w:t>2</w:t>
            </w:r>
            <w:r w:rsidRPr="00692CBC">
              <w:t>.</w:t>
            </w:r>
            <w:r w:rsidR="00DA548C">
              <w:t>3</w:t>
            </w:r>
            <w:r w:rsidRPr="00692CBC">
              <w:t xml:space="preserve">. </w:t>
            </w:r>
            <w:r w:rsidR="00883F4C">
              <w:t>apakš</w:t>
            </w:r>
            <w:r w:rsidRPr="00692CBC">
              <w:t>punkta redakcija.</w:t>
            </w:r>
          </w:p>
        </w:tc>
      </w:tr>
    </w:tbl>
    <w:p w14:paraId="239B6F8D" w14:textId="77777777" w:rsidR="00FF19C6" w:rsidRDefault="00FF19C6">
      <w:bookmarkStart w:id="9" w:name="_GoBack"/>
      <w:bookmarkEnd w:id="9"/>
    </w:p>
    <w:tbl>
      <w:tblPr>
        <w:tblStyle w:val="a"/>
        <w:tblW w:w="14567" w:type="dxa"/>
        <w:tblLayout w:type="fixed"/>
        <w:tblLook w:val="0600" w:firstRow="0" w:lastRow="0" w:firstColumn="0" w:lastColumn="0" w:noHBand="1" w:noVBand="1"/>
      </w:tblPr>
      <w:tblGrid>
        <w:gridCol w:w="4855"/>
        <w:gridCol w:w="4856"/>
        <w:gridCol w:w="4856"/>
      </w:tblGrid>
      <w:tr w:rsidR="00FF19C6" w14:paraId="25034380" w14:textId="77777777">
        <w:tc>
          <w:tcPr>
            <w:tcW w:w="4855" w:type="dxa"/>
            <w:shd w:val="clear" w:color="auto" w:fill="FFFFFF"/>
            <w:noWrap/>
            <w:tcMar>
              <w:top w:w="75" w:type="dxa"/>
              <w:left w:w="75" w:type="dxa"/>
              <w:bottom w:w="75" w:type="dxa"/>
              <w:right w:w="75" w:type="dxa"/>
            </w:tcMar>
            <w:vAlign w:val="center"/>
          </w:tcPr>
          <w:p w14:paraId="1D1342D3" w14:textId="77777777" w:rsidR="00FF19C6" w:rsidRDefault="00AE48C0">
            <w:pPr>
              <w:jc w:val="left"/>
            </w:pPr>
            <w:r>
              <w:t>Da</w:t>
            </w:r>
            <w:r>
              <w:t>tums**</w:t>
            </w:r>
          </w:p>
        </w:tc>
        <w:tc>
          <w:tcPr>
            <w:tcW w:w="4856" w:type="dxa"/>
            <w:shd w:val="clear" w:color="auto" w:fill="FFFFFF"/>
            <w:noWrap/>
            <w:tcMar>
              <w:top w:w="75" w:type="dxa"/>
              <w:left w:w="75" w:type="dxa"/>
              <w:bottom w:w="75" w:type="dxa"/>
              <w:right w:w="75" w:type="dxa"/>
            </w:tcMar>
            <w:vAlign w:val="center"/>
          </w:tcPr>
          <w:p w14:paraId="06F760E3" w14:textId="77777777" w:rsidR="00FF19C6" w:rsidRDefault="00FF19C6">
            <w:pPr>
              <w:pBdr>
                <w:bottom w:val="single" w:sz="10" w:space="1" w:color="000000"/>
              </w:pBdr>
            </w:pPr>
          </w:p>
        </w:tc>
        <w:tc>
          <w:tcPr>
            <w:tcW w:w="4856" w:type="dxa"/>
            <w:shd w:val="clear" w:color="auto" w:fill="FFFFFF"/>
            <w:noWrap/>
            <w:tcMar>
              <w:top w:w="75" w:type="dxa"/>
              <w:left w:w="75" w:type="dxa"/>
              <w:bottom w:w="75" w:type="dxa"/>
              <w:right w:w="75" w:type="dxa"/>
            </w:tcMar>
            <w:vAlign w:val="center"/>
          </w:tcPr>
          <w:p w14:paraId="5B4C9BD6" w14:textId="77777777" w:rsidR="00FF19C6" w:rsidRDefault="00FF19C6"/>
        </w:tc>
      </w:tr>
      <w:tr w:rsidR="00FF19C6" w14:paraId="4E6D3241" w14:textId="77777777">
        <w:tc>
          <w:tcPr>
            <w:tcW w:w="4855" w:type="dxa"/>
            <w:shd w:val="clear" w:color="auto" w:fill="FFFFFF"/>
            <w:noWrap/>
            <w:tcMar>
              <w:top w:w="75" w:type="dxa"/>
              <w:left w:w="75" w:type="dxa"/>
              <w:bottom w:w="75" w:type="dxa"/>
              <w:right w:w="75" w:type="dxa"/>
            </w:tcMar>
            <w:vAlign w:val="center"/>
          </w:tcPr>
          <w:p w14:paraId="0941486A" w14:textId="77777777" w:rsidR="00FF19C6" w:rsidRDefault="00FF19C6"/>
        </w:tc>
        <w:tc>
          <w:tcPr>
            <w:tcW w:w="4856" w:type="dxa"/>
            <w:shd w:val="clear" w:color="auto" w:fill="FFFFFF"/>
            <w:noWrap/>
            <w:tcMar>
              <w:top w:w="75" w:type="dxa"/>
              <w:left w:w="75" w:type="dxa"/>
              <w:bottom w:w="75" w:type="dxa"/>
              <w:right w:w="75" w:type="dxa"/>
            </w:tcMar>
            <w:vAlign w:val="center"/>
          </w:tcPr>
          <w:p w14:paraId="2883C5DA" w14:textId="77777777" w:rsidR="00FF19C6" w:rsidRDefault="00AE48C0">
            <w:pPr>
              <w:jc w:val="center"/>
            </w:pPr>
            <w:r>
              <w:t>(dd.mm.gggg)</w:t>
            </w:r>
          </w:p>
        </w:tc>
        <w:tc>
          <w:tcPr>
            <w:tcW w:w="4856" w:type="dxa"/>
            <w:shd w:val="clear" w:color="auto" w:fill="FFFFFF"/>
            <w:noWrap/>
            <w:tcMar>
              <w:top w:w="75" w:type="dxa"/>
              <w:left w:w="75" w:type="dxa"/>
              <w:bottom w:w="75" w:type="dxa"/>
              <w:right w:w="75" w:type="dxa"/>
            </w:tcMar>
            <w:vAlign w:val="center"/>
          </w:tcPr>
          <w:p w14:paraId="624A10A3" w14:textId="77777777" w:rsidR="00FF19C6" w:rsidRDefault="00FF19C6"/>
        </w:tc>
      </w:tr>
      <w:tr w:rsidR="00FF19C6" w14:paraId="2A7C2613" w14:textId="77777777">
        <w:tc>
          <w:tcPr>
            <w:tcW w:w="4855" w:type="dxa"/>
            <w:shd w:val="clear" w:color="auto" w:fill="FFFFFF"/>
            <w:noWrap/>
            <w:tcMar>
              <w:top w:w="75" w:type="dxa"/>
              <w:left w:w="75" w:type="dxa"/>
              <w:bottom w:w="75" w:type="dxa"/>
              <w:right w:w="75" w:type="dxa"/>
            </w:tcMar>
            <w:vAlign w:val="center"/>
          </w:tcPr>
          <w:p w14:paraId="4E2DB6D0" w14:textId="77777777" w:rsidR="00FF19C6" w:rsidRDefault="00AE48C0">
            <w:pPr>
              <w:jc w:val="left"/>
            </w:pPr>
            <w:r>
              <w:t>Atbildīgā persona</w:t>
            </w:r>
          </w:p>
        </w:tc>
        <w:tc>
          <w:tcPr>
            <w:tcW w:w="4856" w:type="dxa"/>
            <w:shd w:val="clear" w:color="auto" w:fill="FFFFFF"/>
            <w:noWrap/>
            <w:tcMar>
              <w:top w:w="75" w:type="dxa"/>
              <w:left w:w="75" w:type="dxa"/>
              <w:bottom w:w="75" w:type="dxa"/>
              <w:right w:w="75" w:type="dxa"/>
            </w:tcMar>
            <w:vAlign w:val="center"/>
          </w:tcPr>
          <w:p w14:paraId="4ACB232D" w14:textId="77777777" w:rsidR="00FF19C6" w:rsidRDefault="00FF19C6">
            <w:pPr>
              <w:pBdr>
                <w:bottom w:val="single" w:sz="10" w:space="1" w:color="000000"/>
              </w:pBdr>
            </w:pPr>
          </w:p>
        </w:tc>
        <w:tc>
          <w:tcPr>
            <w:tcW w:w="4856" w:type="dxa"/>
            <w:shd w:val="clear" w:color="auto" w:fill="FFFFFF"/>
            <w:noWrap/>
            <w:tcMar>
              <w:top w:w="75" w:type="dxa"/>
              <w:left w:w="75" w:type="dxa"/>
              <w:bottom w:w="75" w:type="dxa"/>
              <w:right w:w="75" w:type="dxa"/>
            </w:tcMar>
            <w:vAlign w:val="center"/>
          </w:tcPr>
          <w:p w14:paraId="6E11587A" w14:textId="77777777" w:rsidR="00FF19C6" w:rsidRDefault="00FF19C6"/>
        </w:tc>
      </w:tr>
      <w:tr w:rsidR="00FF19C6" w14:paraId="14504CFE" w14:textId="77777777">
        <w:tc>
          <w:tcPr>
            <w:tcW w:w="4855" w:type="dxa"/>
            <w:shd w:val="clear" w:color="auto" w:fill="FFFFFF"/>
            <w:noWrap/>
            <w:tcMar>
              <w:top w:w="75" w:type="dxa"/>
              <w:left w:w="75" w:type="dxa"/>
              <w:bottom w:w="75" w:type="dxa"/>
              <w:right w:w="75" w:type="dxa"/>
            </w:tcMar>
            <w:vAlign w:val="center"/>
          </w:tcPr>
          <w:p w14:paraId="77CD7426" w14:textId="77777777" w:rsidR="00FF19C6" w:rsidRDefault="00FF19C6"/>
        </w:tc>
        <w:tc>
          <w:tcPr>
            <w:tcW w:w="4856" w:type="dxa"/>
            <w:shd w:val="clear" w:color="auto" w:fill="FFFFFF"/>
            <w:noWrap/>
            <w:tcMar>
              <w:top w:w="75" w:type="dxa"/>
              <w:left w:w="75" w:type="dxa"/>
              <w:bottom w:w="75" w:type="dxa"/>
              <w:right w:w="75" w:type="dxa"/>
            </w:tcMar>
            <w:vAlign w:val="center"/>
          </w:tcPr>
          <w:p w14:paraId="1FEDE06D" w14:textId="77777777" w:rsidR="00FF19C6" w:rsidRDefault="00AE48C0">
            <w:pPr>
              <w:jc w:val="center"/>
            </w:pPr>
            <w:r>
              <w:t>(vārds, uzvārds, paraksts**)</w:t>
            </w:r>
          </w:p>
        </w:tc>
        <w:tc>
          <w:tcPr>
            <w:tcW w:w="4856" w:type="dxa"/>
            <w:shd w:val="clear" w:color="auto" w:fill="FFFFFF"/>
            <w:noWrap/>
            <w:tcMar>
              <w:top w:w="75" w:type="dxa"/>
              <w:left w:w="75" w:type="dxa"/>
              <w:bottom w:w="75" w:type="dxa"/>
              <w:right w:w="75" w:type="dxa"/>
            </w:tcMar>
            <w:vAlign w:val="center"/>
          </w:tcPr>
          <w:p w14:paraId="03C76A93" w14:textId="77777777" w:rsidR="00FF19C6" w:rsidRDefault="00FF19C6"/>
        </w:tc>
      </w:tr>
    </w:tbl>
    <w:p w14:paraId="67A6599A" w14:textId="77777777" w:rsidR="00FF19C6" w:rsidRDefault="00FF19C6"/>
    <w:p w14:paraId="73C86506" w14:textId="77777777" w:rsidR="00FF19C6" w:rsidRDefault="00AE48C0">
      <w:r>
        <w:t>Piezīmes.</w:t>
      </w:r>
    </w:p>
    <w:p w14:paraId="69D88F96" w14:textId="77777777" w:rsidR="00FF19C6" w:rsidRDefault="00AE48C0">
      <w:r>
        <w:t xml:space="preserve">* Iesniedzējs (fiziskai personai – vārds, uzvārds, juridiskai personai – nosaukums) var tikt publiskots, ja viņš tam ir piekritis. Ja attiecināms, iesniedzējs norāda </w:t>
      </w:r>
      <w:r>
        <w:t>interešu pārstāvja reģistrācijas numuru.</w:t>
      </w:r>
    </w:p>
    <w:p w14:paraId="340969CD" w14:textId="77777777" w:rsidR="00FF19C6" w:rsidRDefault="00AE48C0">
      <w:r>
        <w:t>** Dokumenta rekvizītus "datums" un "paraksts" neaizpilda, ja elektroniskais dokuments ir sagatavots atbilstoši normatīvajiem aktiem par elektronisko dokumentu noformēšanu.</w:t>
      </w:r>
    </w:p>
    <w:sectPr w:rsidR="00FF19C6">
      <w:headerReference w:type="default" r:id="rId7"/>
      <w:footerReference w:type="default" r:id="rId8"/>
      <w:headerReference w:type="first" r:id="rId9"/>
      <w:footerReference w:type="first" r:id="rId10"/>
      <w:pgSz w:w="16833" w:h="11908" w:orient="landscape"/>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034B95" w14:textId="77777777" w:rsidR="00AE48C0" w:rsidRDefault="00AE48C0">
      <w:r>
        <w:separator/>
      </w:r>
    </w:p>
  </w:endnote>
  <w:endnote w:type="continuationSeparator" w:id="0">
    <w:p w14:paraId="5A8B7B12" w14:textId="77777777" w:rsidR="00AE48C0" w:rsidRDefault="00AE48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Palatino">
    <w:altName w:val="Book Antiqu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Aptos">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ED3C47" w14:textId="4EB952AD" w:rsidR="00FF19C6" w:rsidRDefault="00AE48C0">
    <w:pPr>
      <w:jc w:val="right"/>
    </w:pPr>
    <w:r>
      <w:rPr>
        <w:sz w:val="24"/>
        <w:szCs w:val="24"/>
      </w:rPr>
      <w:fldChar w:fldCharType="begin"/>
    </w:r>
    <w:r>
      <w:rPr>
        <w:sz w:val="24"/>
        <w:szCs w:val="24"/>
      </w:rPr>
      <w:instrText>PAGE</w:instrText>
    </w:r>
    <w:r>
      <w:rPr>
        <w:sz w:val="24"/>
        <w:szCs w:val="24"/>
      </w:rPr>
      <w:fldChar w:fldCharType="separate"/>
    </w:r>
    <w:r w:rsidR="00DA548C">
      <w:rPr>
        <w:noProof/>
        <w:sz w:val="24"/>
        <w:szCs w:val="24"/>
      </w:rPr>
      <w:t>14</w:t>
    </w:r>
    <w:r>
      <w:rPr>
        <w:sz w:val="24"/>
        <w:szCs w:val="24"/>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69A843" w14:textId="77777777" w:rsidR="00F0396C" w:rsidRDefault="00AE48C0">
    <w:r>
      <w:cr/>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FB574D" w14:textId="77777777" w:rsidR="00AE48C0" w:rsidRDefault="00AE48C0">
      <w:r>
        <w:separator/>
      </w:r>
    </w:p>
  </w:footnote>
  <w:footnote w:type="continuationSeparator" w:id="0">
    <w:p w14:paraId="2365CB0D" w14:textId="77777777" w:rsidR="00AE48C0" w:rsidRDefault="00AE48C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5426F5" w14:textId="77777777" w:rsidR="00FF19C6" w:rsidRDefault="00AE48C0">
    <w:pPr>
      <w:pStyle w:val="Header"/>
      <w:contextualSpacing w:val="0"/>
    </w:pPr>
    <w:r>
      <w:t>Viedokļu pārskats 25-TA-1384</w:t>
    </w:r>
    <w:r>
      <w:br/>
      <w:t>Izdrukāts 30.06.2025. 12.31</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F17E60" w14:textId="77777777" w:rsidR="00FF19C6" w:rsidRDefault="00AE48C0">
    <w:pPr>
      <w:pStyle w:val="Header"/>
      <w:contextualSpacing w:val="0"/>
    </w:pPr>
    <w:r>
      <w:t>Viedokļu pārskats 25-TA-1384</w:t>
    </w:r>
    <w:r>
      <w:br/>
      <w:t>Izdrukāts 30.06.2025. 12.31</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FF19C6"/>
    <w:rsid w:val="001E2FFC"/>
    <w:rsid w:val="00516919"/>
    <w:rsid w:val="005F5C3B"/>
    <w:rsid w:val="00692CBC"/>
    <w:rsid w:val="00883F4C"/>
    <w:rsid w:val="009F3235"/>
    <w:rsid w:val="00AE48C0"/>
    <w:rsid w:val="00B657E2"/>
    <w:rsid w:val="00BC0695"/>
    <w:rsid w:val="00CC03F7"/>
    <w:rsid w:val="00D45561"/>
    <w:rsid w:val="00D72CFA"/>
    <w:rsid w:val="00D94AD2"/>
    <w:rsid w:val="00DA548C"/>
    <w:rsid w:val="00E629E0"/>
    <w:rsid w:val="00F0396C"/>
    <w:rsid w:val="00FF19C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BF31D6"/>
  <w15:docId w15:val="{9BA1E0EC-02B3-45EA-89DB-D81CD239E2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color w:val="333333"/>
        <w:sz w:val="28"/>
        <w:lang w:val="lv-LV" w:eastAsia="lv-LV"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spacing w:after="120"/>
      <w:contextualSpacing/>
      <w:outlineLvl w:val="0"/>
    </w:pPr>
    <w:rPr>
      <w:rFonts w:ascii="Palatino" w:eastAsia="Palatino" w:hAnsi="Palatino" w:cs="Palatino"/>
      <w:sz w:val="36"/>
    </w:rPr>
  </w:style>
  <w:style w:type="paragraph" w:styleId="Heading2">
    <w:name w:val="heading 2"/>
    <w:basedOn w:val="Normal"/>
    <w:next w:val="Normal"/>
    <w:uiPriority w:val="9"/>
    <w:semiHidden/>
    <w:unhideWhenUsed/>
    <w:qFormat/>
    <w:pPr>
      <w:spacing w:before="120" w:after="160"/>
      <w:contextualSpacing/>
      <w:outlineLvl w:val="1"/>
    </w:pPr>
    <w:rPr>
      <w:rFonts w:ascii="Arial" w:eastAsia="Arial" w:hAnsi="Arial" w:cs="Arial"/>
      <w:b/>
      <w:sz w:val="26"/>
    </w:rPr>
  </w:style>
  <w:style w:type="paragraph" w:styleId="Heading3">
    <w:name w:val="heading 3"/>
    <w:basedOn w:val="Normal"/>
    <w:next w:val="Normal"/>
    <w:uiPriority w:val="9"/>
    <w:semiHidden/>
    <w:unhideWhenUsed/>
    <w:qFormat/>
    <w:pPr>
      <w:spacing w:before="120" w:after="160"/>
      <w:contextualSpacing/>
      <w:outlineLvl w:val="2"/>
    </w:pPr>
    <w:rPr>
      <w:rFonts w:ascii="Arial" w:eastAsia="Arial" w:hAnsi="Arial" w:cs="Arial"/>
      <w:b/>
      <w:i/>
      <w:color w:val="666666"/>
      <w:sz w:val="24"/>
    </w:rPr>
  </w:style>
  <w:style w:type="paragraph" w:styleId="Heading4">
    <w:name w:val="heading 4"/>
    <w:basedOn w:val="Normal"/>
    <w:next w:val="Normal"/>
    <w:uiPriority w:val="9"/>
    <w:semiHidden/>
    <w:unhideWhenUsed/>
    <w:qFormat/>
    <w:pPr>
      <w:spacing w:before="120" w:after="120"/>
      <w:contextualSpacing/>
      <w:outlineLvl w:val="3"/>
    </w:pPr>
    <w:rPr>
      <w:rFonts w:ascii="Palatino" w:eastAsia="Palatino" w:hAnsi="Palatino" w:cs="Palatino"/>
      <w:b/>
      <w:sz w:val="24"/>
    </w:rPr>
  </w:style>
  <w:style w:type="paragraph" w:styleId="Heading5">
    <w:name w:val="heading 5"/>
    <w:basedOn w:val="Normal"/>
    <w:next w:val="Normal"/>
    <w:uiPriority w:val="9"/>
    <w:semiHidden/>
    <w:unhideWhenUsed/>
    <w:qFormat/>
    <w:pPr>
      <w:spacing w:before="120" w:after="120"/>
      <w:contextualSpacing/>
      <w:outlineLvl w:val="4"/>
    </w:pPr>
    <w:rPr>
      <w:rFonts w:ascii="Arial" w:eastAsia="Arial" w:hAnsi="Arial" w:cs="Arial"/>
      <w:b/>
      <w:sz w:val="22"/>
    </w:rPr>
  </w:style>
  <w:style w:type="paragraph" w:styleId="Heading6">
    <w:name w:val="heading 6"/>
    <w:basedOn w:val="Normal"/>
    <w:next w:val="Normal"/>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contextualSpacing/>
    </w:pPr>
    <w:rPr>
      <w:rFonts w:ascii="Palatino" w:eastAsia="Palatino" w:hAnsi="Palatino" w:cs="Palatino"/>
      <w:sz w:val="60"/>
    </w:rPr>
  </w:style>
  <w:style w:type="paragraph" w:styleId="Subtitle">
    <w:name w:val="Subtitle"/>
    <w:basedOn w:val="Normal"/>
    <w:next w:val="Normal"/>
    <w:uiPriority w:val="11"/>
    <w:qFormat/>
    <w:pPr>
      <w:spacing w:before="60"/>
      <w:contextualSpacing/>
    </w:pPr>
    <w:rPr>
      <w:rFonts w:ascii="Arial" w:eastAsia="Arial" w:hAnsi="Arial" w:cs="Arial"/>
    </w:rPr>
  </w:style>
  <w:style w:type="paragraph" w:customStyle="1" w:styleId="paragraph">
    <w:name w:val="paragraph"/>
    <w:basedOn w:val="Normal"/>
    <w:next w:val="Normal"/>
    <w:pPr>
      <w:contextualSpacing/>
    </w:pPr>
  </w:style>
  <w:style w:type="paragraph" w:customStyle="1" w:styleId="paragraphheader">
    <w:name w:val="paragraph_header"/>
    <w:basedOn w:val="Normal"/>
    <w:next w:val="Normal"/>
    <w:pPr>
      <w:spacing w:before="280" w:after="280"/>
      <w:contextualSpacing/>
    </w:pPr>
  </w:style>
  <w:style w:type="paragraph" w:styleId="Header">
    <w:name w:val="header"/>
    <w:basedOn w:val="Normal"/>
    <w:next w:val="Normal"/>
    <w:pPr>
      <w:spacing w:after="280"/>
      <w:contextualSpacing/>
      <w:jc w:val="right"/>
    </w:pPr>
    <w:rPr>
      <w:sz w:val="24"/>
    </w:rPr>
  </w:style>
  <w:style w:type="paragraph" w:customStyle="1" w:styleId="signeddocumentparagraph">
    <w:name w:val="signed_document_paragraph"/>
    <w:basedOn w:val="Normal"/>
    <w:next w:val="Normal"/>
    <w:pPr>
      <w:contextualSpacing/>
      <w:jc w:val="right"/>
    </w:pPr>
    <w:rPr>
      <w:sz w:val="24"/>
    </w:rPr>
  </w:style>
  <w:style w:type="paragraph" w:customStyle="1" w:styleId="boldparagraphheader">
    <w:name w:val="bold_paragraph_header"/>
    <w:basedOn w:val="Normal"/>
    <w:next w:val="Normal"/>
    <w:pPr>
      <w:contextualSpacing/>
      <w:jc w:val="center"/>
    </w:pPr>
    <w:rPr>
      <w:b/>
    </w:rPr>
  </w:style>
  <w:style w:type="table" w:customStyle="1" w:styleId="a">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82458C-BA53-42B9-AE96-87BDE9C7C3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233</TotalTime>
  <Pages>14</Pages>
  <Words>1825</Words>
  <Characters>10405</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viedoklu_parskats_25-TA-1384.docx</vt:lpstr>
    </vt:vector>
  </TitlesOfParts>
  <Company>Zemkopības Ministrija</Company>
  <LinksUpToDate>false</LinksUpToDate>
  <CharactersWithSpaces>12206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viedoklu_parskats_25-TA-1384.docx</dc:title>
  <cp:lastModifiedBy>Agne Cat</cp:lastModifiedBy>
  <cp:revision>7</cp:revision>
  <dcterms:created xsi:type="dcterms:W3CDTF">2025-06-30T09:31:00Z</dcterms:created>
  <dcterms:modified xsi:type="dcterms:W3CDTF">2025-07-02T09:14:00Z</dcterms:modified>
</cp:coreProperties>
</file>