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C7A1D" w:rsidRDefault="00E41974" w14:paraId="00EC8072" w14:textId="77777777">
      <w:pPr>
        <w:spacing w:after="240"/>
        <w:jc w:val="center"/>
        <w:rPr>
          <w:b/>
        </w:rPr>
      </w:pPr>
      <w:r>
        <w:rPr>
          <w:b/>
        </w:rPr>
        <w:t>“Publiskās apspriešanas laikā 15.10.2025. - 29.10.2025. saņemto viedokļu, priekšlikumu un iebildumu apkopojums par Grozījumi Civilprocesa likumā”</w:t>
      </w:r>
    </w:p>
    <w:tbl>
      <w:tblPr>
        <w:tblStyle w:val="a"/>
        <w:tblW w:w="14567" w:type="dxa"/>
        <w:tblInd w:w="0" w:type="dxa"/>
        <w:tblBorders>
          <w:top w:val="single" w:color="auto" w:sz="5" w:space="0"/>
          <w:left w:val="single" w:color="auto" w:sz="5" w:space="0"/>
          <w:bottom w:val="single" w:color="auto" w:sz="5" w:space="0"/>
          <w:right w:val="single" w:color="auto" w:sz="5" w:space="0"/>
          <w:insideH w:val="single" w:color="auto" w:sz="5" w:space="0"/>
          <w:insideV w:val="single" w:color="auto" w:sz="5" w:space="0"/>
        </w:tblBorders>
        <w:tblLayout w:type="fixed"/>
        <w:tblCellMar>
          <w:top w:w="0" w:type="dxa"/>
          <w:left w:w="0" w:type="dxa"/>
          <w:bottom w:w="0" w:type="dxa"/>
          <w:right w:w="0" w:type="dxa"/>
        </w:tblCellMar>
        <w:tblLook w:val="0600" w:firstRow="0" w:lastRow="0" w:firstColumn="0" w:lastColumn="0" w:noHBand="1" w:noVBand="1"/>
      </w:tblPr>
      <w:tblGrid>
        <w:gridCol w:w="750"/>
        <w:gridCol w:w="4055"/>
        <w:gridCol w:w="4056"/>
        <w:gridCol w:w="1650"/>
        <w:gridCol w:w="4056"/>
      </w:tblGrid>
      <w:tr w:rsidR="00EC7A1D" w:rsidTr="0593549A" w14:paraId="1355DBF9" w14:textId="77777777">
        <w:tblPrEx>
          <w:tblCellMar>
            <w:top w:w="0" w:type="dxa"/>
            <w:left w:w="0" w:type="dxa"/>
            <w:bottom w:w="0" w:type="dxa"/>
            <w:right w:w="0" w:type="dxa"/>
          </w:tblCellMar>
        </w:tblPrEx>
        <w:tc>
          <w:tcPr>
            <w:tcW w:w="750" w:type="dxa"/>
            <w:shd w:val="clear" w:color="auto" w:fill="FFFFFF" w:themeFill="background1"/>
            <w:noWrap/>
            <w:tcMar>
              <w:top w:w="75" w:type="dxa"/>
              <w:left w:w="75" w:type="dxa"/>
              <w:bottom w:w="75" w:type="dxa"/>
              <w:right w:w="75" w:type="dxa"/>
            </w:tcMar>
            <w:vAlign w:val="center"/>
          </w:tcPr>
          <w:p w:rsidR="00EC7A1D" w:rsidRDefault="00E41974" w14:paraId="0C085867" w14:textId="77777777">
            <w:pPr>
              <w:spacing w:line="240" w:lineRule="auto"/>
              <w:jc w:val="center"/>
            </w:pPr>
            <w:proofErr w:type="spellStart"/>
            <w:r>
              <w:rPr>
                <w:b/>
              </w:rPr>
              <w:t>Nr.p.k</w:t>
            </w:r>
            <w:proofErr w:type="spellEnd"/>
            <w:r>
              <w:rPr>
                <w:b/>
              </w:rPr>
              <w:t>.</w:t>
            </w:r>
          </w:p>
        </w:tc>
        <w:tc>
          <w:tcPr>
            <w:tcW w:w="4055" w:type="dxa"/>
            <w:shd w:val="clear" w:color="auto" w:fill="FFFFFF" w:themeFill="background1"/>
            <w:noWrap/>
            <w:tcMar>
              <w:top w:w="75" w:type="dxa"/>
              <w:left w:w="75" w:type="dxa"/>
              <w:bottom w:w="75" w:type="dxa"/>
              <w:right w:w="75" w:type="dxa"/>
            </w:tcMar>
            <w:vAlign w:val="center"/>
          </w:tcPr>
          <w:p w:rsidR="00EC7A1D" w:rsidRDefault="00E41974" w14:paraId="373429BB" w14:textId="77777777">
            <w:pPr>
              <w:spacing w:line="240" w:lineRule="auto"/>
              <w:jc w:val="center"/>
            </w:pPr>
            <w:r>
              <w:rPr>
                <w:b/>
              </w:rPr>
              <w:t>Viedokļa / priekšlikuma / iebilduma iesniedzējs*</w:t>
            </w:r>
          </w:p>
        </w:tc>
        <w:tc>
          <w:tcPr>
            <w:tcW w:w="4056" w:type="dxa"/>
            <w:shd w:val="clear" w:color="auto" w:fill="FFFFFF" w:themeFill="background1"/>
            <w:noWrap/>
            <w:tcMar>
              <w:top w:w="75" w:type="dxa"/>
              <w:left w:w="75" w:type="dxa"/>
              <w:bottom w:w="75" w:type="dxa"/>
              <w:right w:w="75" w:type="dxa"/>
            </w:tcMar>
            <w:vAlign w:val="center"/>
          </w:tcPr>
          <w:p w:rsidR="00EC7A1D" w:rsidRDefault="00E41974" w14:paraId="6731C6C2" w14:textId="77777777">
            <w:pPr>
              <w:spacing w:line="240" w:lineRule="auto"/>
              <w:jc w:val="center"/>
            </w:pPr>
            <w:r>
              <w:rPr>
                <w:b/>
              </w:rPr>
              <w:t>Iesniegtā viedokļa / priekšlikuma / iebilduma būtība</w:t>
            </w:r>
          </w:p>
        </w:tc>
        <w:tc>
          <w:tcPr>
            <w:tcW w:w="1650" w:type="dxa"/>
            <w:shd w:val="clear" w:color="auto" w:fill="FFFFFF" w:themeFill="background1"/>
            <w:noWrap/>
            <w:tcMar>
              <w:top w:w="75" w:type="dxa"/>
              <w:left w:w="75" w:type="dxa"/>
              <w:bottom w:w="75" w:type="dxa"/>
              <w:right w:w="75" w:type="dxa"/>
            </w:tcMar>
            <w:vAlign w:val="center"/>
          </w:tcPr>
          <w:p w:rsidR="00EC7A1D" w:rsidRDefault="00E41974" w14:paraId="7BA2DE22" w14:textId="77777777">
            <w:pPr>
              <w:spacing w:line="240" w:lineRule="auto"/>
              <w:jc w:val="center"/>
            </w:pPr>
            <w:r>
              <w:rPr>
                <w:b/>
              </w:rPr>
              <w:t>Ņemts vērā / ņemts vērā daļēji / nav ņemts vērā</w:t>
            </w:r>
          </w:p>
        </w:tc>
        <w:tc>
          <w:tcPr>
            <w:tcW w:w="4056" w:type="dxa"/>
            <w:shd w:val="clear" w:color="auto" w:fill="FFFFFF" w:themeFill="background1"/>
            <w:noWrap/>
            <w:tcMar>
              <w:top w:w="75" w:type="dxa"/>
              <w:left w:w="75" w:type="dxa"/>
              <w:bottom w:w="75" w:type="dxa"/>
              <w:right w:w="75" w:type="dxa"/>
            </w:tcMar>
            <w:vAlign w:val="center"/>
          </w:tcPr>
          <w:p w:rsidR="00EC7A1D" w:rsidRDefault="00E41974" w14:paraId="3230C081" w14:textId="77777777">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EC7A1D" w:rsidTr="0593549A" w14:paraId="2269F136" w14:textId="77777777">
        <w:tblPrEx>
          <w:tblCellMar>
            <w:top w:w="0" w:type="dxa"/>
            <w:left w:w="0" w:type="dxa"/>
            <w:bottom w:w="0" w:type="dxa"/>
            <w:right w:w="0" w:type="dxa"/>
          </w:tblCellMar>
        </w:tblPrEx>
        <w:tc>
          <w:tcPr>
            <w:tcW w:w="750" w:type="dxa"/>
            <w:shd w:val="clear" w:color="auto" w:fill="FFFFFF" w:themeFill="background1"/>
            <w:noWrap/>
            <w:tcMar>
              <w:top w:w="75" w:type="dxa"/>
              <w:left w:w="75" w:type="dxa"/>
              <w:bottom w:w="75" w:type="dxa"/>
              <w:right w:w="75" w:type="dxa"/>
            </w:tcMar>
            <w:vAlign w:val="center"/>
          </w:tcPr>
          <w:p w:rsidR="00EC7A1D" w:rsidRDefault="00E41974" w14:paraId="5FE4A164" w14:textId="77777777">
            <w:pPr>
              <w:spacing w:line="240" w:lineRule="auto"/>
              <w:jc w:val="center"/>
            </w:pPr>
            <w:r>
              <w:t>1.</w:t>
            </w:r>
          </w:p>
        </w:tc>
        <w:tc>
          <w:tcPr>
            <w:tcW w:w="4055" w:type="dxa"/>
            <w:shd w:val="clear" w:color="auto" w:fill="FFFFFF" w:themeFill="background1"/>
            <w:noWrap/>
            <w:tcMar>
              <w:top w:w="75" w:type="dxa"/>
              <w:left w:w="75" w:type="dxa"/>
              <w:bottom w:w="75" w:type="dxa"/>
              <w:right w:w="75" w:type="dxa"/>
            </w:tcMar>
            <w:vAlign w:val="center"/>
          </w:tcPr>
          <w:p w:rsidR="00EC7A1D" w:rsidRDefault="00E41974" w14:paraId="61107389" w14:textId="77777777">
            <w:pPr>
              <w:spacing w:line="240" w:lineRule="auto"/>
              <w:jc w:val="left"/>
            </w:pPr>
            <w:r>
              <w:t>"Latvijas bezdarbnieku un darba meklētāju interešu aizstāvības biedrība", Raimonds Lejnieks-Puķe</w:t>
            </w:r>
          </w:p>
        </w:tc>
        <w:tc>
          <w:tcPr>
            <w:tcW w:w="4056" w:type="dxa"/>
            <w:shd w:val="clear" w:color="auto" w:fill="FFFFFF" w:themeFill="background1"/>
            <w:noWrap/>
            <w:tcMar>
              <w:top w:w="75" w:type="dxa"/>
              <w:left w:w="75" w:type="dxa"/>
              <w:bottom w:w="75" w:type="dxa"/>
              <w:right w:w="75" w:type="dxa"/>
            </w:tcMar>
            <w:vAlign w:val="center"/>
          </w:tcPr>
          <w:p w:rsidR="00EC7A1D" w:rsidRDefault="00E41974" w14:paraId="4F2D326C" w14:textId="77777777">
            <w:pPr>
              <w:spacing w:line="240" w:lineRule="auto"/>
              <w:jc w:val="left"/>
            </w:pPr>
            <w:r>
              <w:t xml:space="preserve">Pašlaik Civilprocesa likuma 594. pants aizsargā </w:t>
            </w:r>
            <w:r>
              <w:rPr>
                <w:u w:val="single"/>
              </w:rPr>
              <w:t>tikai 50% no minimālās algas</w:t>
            </w:r>
            <w:r>
              <w:t>. Minimālā alga ir politiski noteikts slieksnis, kas neatspoguļo reālo izmaksu līmeni un strauji zaudē vērtību inflācijas apstākļos. Rezultāts: cilvēkiem ar zemiem un vidējiem ienākumiem pēc tiesu izpildītāja ieturējumiem paliek nepietiekami līdzekļi savu pamatvajadzību nodrošināšanai, kas veicina ēnu ekonomiku.</w:t>
            </w:r>
            <w:r>
              <w:br/>
            </w:r>
            <w:r>
              <w:br/>
            </w:r>
            <w:r>
              <w:t>Piedāvātās izmaiņas</w:t>
            </w:r>
            <w:r>
              <w:br/>
            </w:r>
            <w:r>
              <w:br/>
            </w:r>
            <w:r>
              <w:t xml:space="preserve">Aizstāt atsauci uz </w:t>
            </w:r>
            <w:r>
              <w:rPr>
                <w:u w:val="single"/>
              </w:rPr>
              <w:t>minimālo alg</w:t>
            </w:r>
            <w:r>
              <w:t>u ar</w:t>
            </w:r>
            <w:r>
              <w:rPr>
                <w:u w:val="single"/>
              </w:rPr>
              <w:t xml:space="preserve"> 50% no valstī noteiktās vidējās </w:t>
            </w:r>
            <w:r>
              <w:rPr>
                <w:u w:val="single"/>
              </w:rPr>
              <w:lastRenderedPageBreak/>
              <w:t>mēneša darba samaksas (CSP publicētais rādītājs).</w:t>
            </w:r>
            <w:r>
              <w:t xml:space="preserve"> Tas nodrošina automātisku piel</w:t>
            </w:r>
            <w:r>
              <w:t>āgošanos ekonomiskajām izmaiņām, bez biežiem likuma grozījumiem.</w:t>
            </w:r>
            <w:r>
              <w:br/>
            </w:r>
            <w:r>
              <w:br/>
            </w:r>
            <w:r>
              <w:rPr>
                <w:u w:val="single"/>
              </w:rPr>
              <w:t>Vienlaikus precizēt, ka pensijas, sociālās palīdzības pabalsti, atlīdzības par dienestu Zemessardzē u.c. sociālās drošības maksājumi nav uzskatāmi par darba samaksai pielīdzināmiem ienākumiem un no tiem ieturējumi netiek veikti. Šie maksājumi ir domāti pamatvajadzību segšanai, nevis parādu piedziņai.</w:t>
            </w:r>
            <w:r>
              <w:br/>
            </w:r>
            <w:r>
              <w:br/>
            </w:r>
            <w:r>
              <w:t>Kaut arī pašreizējam Civilprocesa likuma 594. pantam un tajā paredzētajiem ieturējumiem ir leģitīms mērķis, bet tiem jābūt samērīgiem pret pers</w:t>
            </w:r>
            <w:r>
              <w:t xml:space="preserve">onas spēju uzturēt sevi un ģimeni. Pāreja uz vidējo algu kā bāzi izlīdzsvaro kreditora intereses ar parādnieka iztikas minimumu. Pensijas un sociālie pabalsti nav atalgojums </w:t>
            </w:r>
            <w:r>
              <w:lastRenderedPageBreak/>
              <w:t>par darbu, bet līdzekļi cilvēka pamatvajadzību nodrošināšanai. No tiem ieturējumi pretrunā sociālās aizsardzības mērķim.</w:t>
            </w:r>
            <w:r>
              <w:br/>
            </w:r>
            <w:r>
              <w:br/>
            </w:r>
            <w:r>
              <w:rPr>
                <w:i/>
                <w:u w:val="single"/>
              </w:rPr>
              <w:t>Sagaidāmā grozījumu ietekme:</w:t>
            </w:r>
            <w:r>
              <w:br/>
            </w:r>
            <w:r>
              <w:t>Iedzīvotājiem - stabilāks “neaizskaramais minimums” samazina sociālo risku, uzlabo motivāciju strādāt legāli un mazina ēnu ekonomiku.</w:t>
            </w:r>
            <w:r>
              <w:br/>
            </w:r>
            <w:r>
              <w:br/>
            </w:r>
            <w:r>
              <w:t>Kreditoriem -  piedziņa kļūst prognozējamāka un ilgt</w:t>
            </w:r>
            <w:r>
              <w:t>ermiņā efektīvāka, jo samazinās privātpersonu maksātnespējas pieteikumi un darba attiecību un ienākumu slēpšana. </w:t>
            </w:r>
            <w:r>
              <w:br/>
            </w:r>
            <w:r>
              <w:br/>
            </w:r>
            <w:r>
              <w:t>Valsts un pašvaldības - zemāks slogs sociālajiem dienestiem, mazāk ārkārtas pabalstu pieprasīšanas gadījumu.</w:t>
            </w:r>
            <w:r>
              <w:br/>
            </w:r>
            <w:r>
              <w:br/>
            </w:r>
            <w:r>
              <w:rPr>
                <w:u w:val="single"/>
              </w:rPr>
              <w:t>Administratīvais īstenojums: </w:t>
            </w:r>
            <w:r>
              <w:br/>
            </w:r>
            <w:r>
              <w:t xml:space="preserve">Datu avots: CSP oficiāli publicētais vidējās mēneša darba samaksas rādītājs. Darba devējam </w:t>
            </w:r>
            <w:r>
              <w:lastRenderedPageBreak/>
              <w:t>un tiesu izpildītājam nav papildu aprēķinu, tikai jāpiemēro aktuālais skaitlis. Skaidrība par ienākumu veidiem: likumā tieši uzskaitīt, ka pensijas, sociālie pabalsti</w:t>
            </w:r>
            <w:r>
              <w:t xml:space="preserve"> un atlīdzības par dienestu nav “darba samaksai pielīdzināmi maksājumi”, tā novēršot strīdus praksē.</w:t>
            </w:r>
            <w:r>
              <w:br/>
            </w:r>
            <w:r>
              <w:br/>
            </w:r>
            <w:r>
              <w:rPr>
                <w:u w:val="single"/>
              </w:rPr>
              <w:t>Fiskālā ietekme:</w:t>
            </w:r>
            <w:r>
              <w:br/>
            </w:r>
            <w:r>
              <w:t xml:space="preserve">Īstermiņā piedziņas plūsma var nedaudz samazināties, taču vidējā termiņā gaidāma labāka parādu </w:t>
            </w:r>
            <w:proofErr w:type="spellStart"/>
            <w:r>
              <w:t>atgūstamība</w:t>
            </w:r>
            <w:proofErr w:type="spellEnd"/>
            <w:r>
              <w:t xml:space="preserve"> un mazāks sociālās palīdzības pieprasītāju skaits pašvaldībās.</w:t>
            </w:r>
            <w:r>
              <w:br/>
            </w:r>
            <w:r>
              <w:br/>
            </w:r>
            <w:r>
              <w:t xml:space="preserve">Pašreizējā ieturējumu kārtība, kas balstās uz minimālās algas daļu, faktiski </w:t>
            </w:r>
            <w:proofErr w:type="spellStart"/>
            <w:r>
              <w:t>demotivē</w:t>
            </w:r>
            <w:proofErr w:type="spellEnd"/>
            <w:r>
              <w:t xml:space="preserve"> strādāt legāli. Ja cilvēkam, saņemot oficiālu algu, tiek atņemta lielākā daļa ienākumu, viņš izvēlas alternatīvu — darbu ēnu ekonomikā, </w:t>
            </w:r>
            <w:r>
              <w:t xml:space="preserve">algu aploksnē vai fiktīvu nodarbinātību, lai izvairītos no parādu piedziņas. Tas samazina </w:t>
            </w:r>
            <w:r>
              <w:lastRenderedPageBreak/>
              <w:t xml:space="preserve">gan nodokļu ieņēmumus valstij, gan kavē parāda reālu atmaksu. Pāreja uz statistisko </w:t>
            </w:r>
            <w:r>
              <w:rPr>
                <w:u w:val="single"/>
              </w:rPr>
              <w:t>vidējo algu</w:t>
            </w:r>
            <w:r>
              <w:t xml:space="preserve"> kā neaizskaramā minimuma bāzi rada psiholoģisku un ekonomisku efektu - cilvēkam paliek pietiekami, lai dzīvotu cilvēka cienīgi un vienlaikus joprojām justu pienākumu atmaksāt kreditoram.</w:t>
            </w:r>
            <w:r>
              <w:br/>
            </w:r>
            <w:r>
              <w:br/>
            </w:r>
            <w:r>
              <w:t>Turklāt samērīgāka ieturējumu politika samazina privātpersonu maksātnespējas procesu skaitu. Šobrīd daudzi parādnieki izvēlas veikt privāt</w:t>
            </w:r>
            <w:r>
              <w:t xml:space="preserve">personas maksātnespējas procesu nevis tāpēc, ka nespēj pelnīt, bet tāpēc, ka pēc tiesu izpildītāja ieturējumiem nav atlicis līdzekļu pat elementāriem pamata izdevumiem ( pārtika, komunālie maksājumi )— un privātpersonas maksātnespējas process kļūst par vienīgo iespēju atbrīvoties no sloga. Ja cilvēkam tiek atstāta puse no vidējās algas, viņš var saglabāt dzīvesvietu, nodrošināt </w:t>
            </w:r>
            <w:r>
              <w:lastRenderedPageBreak/>
              <w:t>vismaz savas pamatvajadzības un vienlaikus pamazām segt savus parādus.</w:t>
            </w:r>
            <w:r>
              <w:br/>
            </w:r>
            <w:r>
              <w:br/>
            </w:r>
            <w:r>
              <w:t>Pašreizējā ieturējumu kārtība, kas balstās uz minimālās alg</w:t>
            </w:r>
            <w:r>
              <w:t xml:space="preserve">as daļu, faktiski </w:t>
            </w:r>
            <w:proofErr w:type="spellStart"/>
            <w:r>
              <w:t>demotivē</w:t>
            </w:r>
            <w:proofErr w:type="spellEnd"/>
            <w:r>
              <w:t xml:space="preserve"> strādāt legāli. Ja cilvēkam, saņemot oficiālu algu, tiek atņemta lielākā daļa ienākumu, viņš izvēlas alternatīvu - darbu ēnu ekonomikā un algu aploksnē, lai izvairītos no parāda piedziņas. Tas samazina gan nodokļu ieņēmumus valstij, gan kavē parāda reālu atmaksu.</w:t>
            </w:r>
            <w:r>
              <w:br/>
            </w:r>
            <w:r>
              <w:br/>
            </w:r>
            <w:r>
              <w:br/>
            </w:r>
            <w:r>
              <w:br/>
            </w:r>
            <w:r>
              <w:t>ŅEMOT VĒRĀ VISU IEPRIEKŠ MINĒTO ierosinām grozīt Civilprocesa likuma 594. pantu šādā redakcijā:</w:t>
            </w:r>
            <w:r>
              <w:br/>
            </w:r>
            <w:r>
              <w:br/>
            </w:r>
            <w:r>
              <w:rPr>
                <w:b/>
                <w:i/>
              </w:rPr>
              <w:t>Ieturējumu apmērs no parādnieka darba samaksas un tai pielīdzinātajiem maksājumiem</w:t>
            </w:r>
            <w:r>
              <w:br/>
            </w:r>
            <w:r>
              <w:br/>
            </w:r>
            <w:r>
              <w:rPr>
                <w:b/>
                <w:i/>
              </w:rPr>
              <w:t xml:space="preserve">(1) No parādniekam </w:t>
            </w:r>
            <w:r>
              <w:rPr>
                <w:b/>
                <w:i/>
              </w:rPr>
              <w:lastRenderedPageBreak/>
              <w:t>izmaksājamās darba</w:t>
            </w:r>
            <w:r>
              <w:rPr>
                <w:b/>
                <w:i/>
              </w:rPr>
              <w:t xml:space="preserve"> samaksas un tai pielīdzināmajiem maksājumiem ieturējumus, pamatojoties uz tiesu izpildītāja rīkojumu, izdara līdz piedzenamā parāda dzēšanai.</w:t>
            </w:r>
            <w:r>
              <w:br/>
            </w:r>
            <w:r>
              <w:br/>
            </w:r>
            <w:r>
              <w:rPr>
                <w:b/>
                <w:i/>
                <w:u w:val="single"/>
              </w:rPr>
              <w:t>(2) Veicot ieturējumus, parādniekam tiek saglabāta darba samaksa un tai pielīdzināmie maksājumi 50 procentu apmērā no valstī noteiktās vidējās mēneša darba samaksas, kā arī papildus par katru apgādībā esošo nepilngadīgo bērnu līdzekļi 15 procentu apmērā no valstī noteiktās vidējās mēneša darba samaksas, bet ne vairāk kā 50 procentu no valstī noteiktās vidējās mēneša</w:t>
            </w:r>
            <w:r>
              <w:rPr>
                <w:b/>
                <w:i/>
                <w:u w:val="single"/>
              </w:rPr>
              <w:t xml:space="preserve"> darba samaksas kopā.</w:t>
            </w:r>
            <w:r>
              <w:br/>
            </w:r>
            <w:r>
              <w:br/>
            </w:r>
            <w:r>
              <w:rPr>
                <w:b/>
                <w:i/>
                <w:u w:val="single"/>
              </w:rPr>
              <w:t xml:space="preserve">(2¹) Ieturējumi netiek veikti no šādiem ienākumiem:1. valsts sociālā nodrošinājuma pabalstiem,2. invaliditātes, vecuma un apgādnieka </w:t>
            </w:r>
            <w:r>
              <w:rPr>
                <w:b/>
                <w:i/>
                <w:u w:val="single"/>
              </w:rPr>
              <w:lastRenderedPageBreak/>
              <w:t>zaudējuma pensijām,3. kompensācijām un atlīdzībām par dienestu Zemessardzē vai valsts aizsardzības dienestā,4. pašvaldību sociālās palīdzības pabalstiem un citiem mērķētiem sociālās aizsardzības maksājumiem5. Jebkuriem citiem ienākumiem, kas nav uzskatāmi par darba samaksu vai tai pielīdzinātiem maksājumiem šā panta izpratnē.</w:t>
            </w:r>
            <w:r>
              <w:br/>
            </w:r>
            <w:r>
              <w:br/>
            </w:r>
            <w:r>
              <w:rPr>
                <w:b/>
                <w:i/>
              </w:rPr>
              <w:t>(3) No summas, kas pārsnied</w:t>
            </w:r>
            <w:r>
              <w:rPr>
                <w:b/>
                <w:i/>
              </w:rPr>
              <w:t>z šā panta otrajā daļā noteikto apmēru, ieturējumus izdara 30 procentu apmērā.(4) Saņemot vairākus šā panta pirmajā daļā noteiktos rīkojumus, vispirms izpilda rīkojumu, kas dots augstākās kārtas prasījuma piedziņai. Ja saņemti rīkojumi par vienas kārtas prasījumu piedziņu, to izpildi proporcionāli piedzenamajai summai, kā norādīts rīkojumā.</w:t>
            </w:r>
            <w:r>
              <w:br/>
            </w:r>
            <w:r>
              <w:br/>
            </w:r>
          </w:p>
        </w:tc>
        <w:tc>
          <w:tcPr>
            <w:tcW w:w="1650" w:type="dxa"/>
            <w:shd w:val="clear" w:color="auto" w:fill="FFFFFF" w:themeFill="background1"/>
            <w:noWrap/>
            <w:tcMar>
              <w:top w:w="75" w:type="dxa"/>
              <w:left w:w="75" w:type="dxa"/>
              <w:bottom w:w="75" w:type="dxa"/>
              <w:right w:w="75" w:type="dxa"/>
            </w:tcMar>
            <w:vAlign w:val="center"/>
          </w:tcPr>
          <w:p w:rsidR="00EC7A1D" w:rsidRDefault="005B54FC" w14:paraId="13F44968" w14:textId="2266CEB9">
            <w:pPr>
              <w:spacing w:line="240" w:lineRule="auto"/>
              <w:jc w:val="left"/>
            </w:pPr>
            <w:r>
              <w:lastRenderedPageBreak/>
              <w:t>Nav ņemts vērā</w:t>
            </w:r>
          </w:p>
        </w:tc>
        <w:tc>
          <w:tcPr>
            <w:tcW w:w="4056" w:type="dxa"/>
            <w:shd w:val="clear" w:color="auto" w:fill="FFFFFF" w:themeFill="background1"/>
            <w:noWrap/>
            <w:tcMar>
              <w:top w:w="75" w:type="dxa"/>
              <w:left w:w="75" w:type="dxa"/>
              <w:bottom w:w="75" w:type="dxa"/>
              <w:right w:w="75" w:type="dxa"/>
            </w:tcMar>
            <w:vAlign w:val="center"/>
          </w:tcPr>
          <w:p w:rsidR="00EC7A1D" w:rsidRDefault="005B54FC" w14:paraId="1DB0CB0A" w14:textId="478B770B" w14:noSpellErr="1">
            <w:pPr>
              <w:spacing w:line="240" w:lineRule="auto"/>
              <w:jc w:val="left"/>
            </w:pPr>
            <w:r w:rsidR="005B54FC">
              <w:rPr/>
              <w:t>Priekšlikums neattiecas uz likumprojektu.</w:t>
            </w:r>
          </w:p>
        </w:tc>
      </w:tr>
    </w:tbl>
    <w:p w:rsidR="00EC7A1D" w:rsidRDefault="00EC7A1D" w14:paraId="55576F65" w14:textId="77777777"/>
    <w:tbl>
      <w:tblPr>
        <w:tblStyle w:val="a"/>
        <w:tblW w:w="14567" w:type="dxa"/>
        <w:tblInd w:w="0" w:type="dxa"/>
        <w:tblLayout w:type="fixed"/>
        <w:tblCellMar>
          <w:top w:w="0" w:type="dxa"/>
          <w:left w:w="0" w:type="dxa"/>
          <w:bottom w:w="0" w:type="dxa"/>
          <w:right w:w="0" w:type="dxa"/>
        </w:tblCellMar>
        <w:tblLook w:val="0600" w:firstRow="0" w:lastRow="0" w:firstColumn="0" w:lastColumn="0" w:noHBand="1" w:noVBand="1"/>
      </w:tblPr>
      <w:tblGrid>
        <w:gridCol w:w="4855"/>
        <w:gridCol w:w="4856"/>
        <w:gridCol w:w="4856"/>
      </w:tblGrid>
      <w:tr w:rsidR="00EC7A1D" w14:paraId="4D7A8620"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rsidR="00EC7A1D" w:rsidRDefault="00E41974" w14:paraId="16595A2C" w14:textId="77777777">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rsidR="00EC7A1D" w:rsidRDefault="00EC7A1D" w14:paraId="7CE513B6" w14:textId="77777777">
            <w:pPr>
              <w:pBdr>
                <w:bottom w:val="single" w:color="000000" w:sz="10" w:space="1"/>
              </w:pBdr>
              <w:spacing w:line="240" w:lineRule="auto"/>
            </w:pPr>
          </w:p>
        </w:tc>
        <w:tc>
          <w:tcPr>
            <w:tcW w:w="4856" w:type="dxa"/>
            <w:shd w:val="clear" w:color="auto" w:fill="FFFFFF"/>
            <w:noWrap/>
            <w:tcMar>
              <w:top w:w="75" w:type="dxa"/>
              <w:left w:w="75" w:type="dxa"/>
              <w:bottom w:w="75" w:type="dxa"/>
              <w:right w:w="75" w:type="dxa"/>
            </w:tcMar>
            <w:vAlign w:val="center"/>
          </w:tcPr>
          <w:p w:rsidR="00EC7A1D" w:rsidRDefault="00EC7A1D" w14:paraId="7B322320" w14:textId="77777777">
            <w:pPr>
              <w:spacing w:line="240" w:lineRule="auto"/>
            </w:pPr>
          </w:p>
        </w:tc>
      </w:tr>
      <w:tr w:rsidR="00EC7A1D" w14:paraId="77737DF4"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rsidR="00EC7A1D" w:rsidRDefault="00EC7A1D" w14:paraId="70784B12" w14:textId="77777777">
            <w:pPr>
              <w:spacing w:line="240" w:lineRule="auto"/>
            </w:pPr>
          </w:p>
        </w:tc>
        <w:tc>
          <w:tcPr>
            <w:tcW w:w="4856" w:type="dxa"/>
            <w:shd w:val="clear" w:color="auto" w:fill="FFFFFF"/>
            <w:noWrap/>
            <w:tcMar>
              <w:top w:w="75" w:type="dxa"/>
              <w:left w:w="75" w:type="dxa"/>
              <w:bottom w:w="75" w:type="dxa"/>
              <w:right w:w="75" w:type="dxa"/>
            </w:tcMar>
            <w:vAlign w:val="center"/>
          </w:tcPr>
          <w:p w:rsidR="00EC7A1D" w:rsidRDefault="00E41974" w14:paraId="51E4DC63" w14:textId="77777777">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rsidR="00EC7A1D" w:rsidRDefault="00EC7A1D" w14:paraId="53E79CB4" w14:textId="77777777">
            <w:pPr>
              <w:spacing w:line="240" w:lineRule="auto"/>
            </w:pPr>
          </w:p>
        </w:tc>
      </w:tr>
      <w:tr w:rsidR="00EC7A1D" w14:paraId="2848077C"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rsidR="00EC7A1D" w:rsidRDefault="00E41974" w14:paraId="24B3EE4E" w14:textId="77777777">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rsidR="00EC7A1D" w:rsidRDefault="00EC7A1D" w14:paraId="25C9F922" w14:textId="77777777">
            <w:pPr>
              <w:pBdr>
                <w:bottom w:val="single" w:color="000000" w:sz="10" w:space="1"/>
              </w:pBdr>
              <w:spacing w:line="240" w:lineRule="auto"/>
            </w:pPr>
          </w:p>
        </w:tc>
        <w:tc>
          <w:tcPr>
            <w:tcW w:w="4856" w:type="dxa"/>
            <w:shd w:val="clear" w:color="auto" w:fill="FFFFFF"/>
            <w:noWrap/>
            <w:tcMar>
              <w:top w:w="75" w:type="dxa"/>
              <w:left w:w="75" w:type="dxa"/>
              <w:bottom w:w="75" w:type="dxa"/>
              <w:right w:w="75" w:type="dxa"/>
            </w:tcMar>
            <w:vAlign w:val="center"/>
          </w:tcPr>
          <w:p w:rsidR="00EC7A1D" w:rsidRDefault="00EC7A1D" w14:paraId="50675C2D" w14:textId="77777777">
            <w:pPr>
              <w:spacing w:line="240" w:lineRule="auto"/>
            </w:pPr>
          </w:p>
        </w:tc>
      </w:tr>
      <w:tr w:rsidR="00EC7A1D" w14:paraId="3E76EDFE" w14:textId="77777777">
        <w:tblPrEx>
          <w:tblCellMar>
            <w:top w:w="0" w:type="dxa"/>
            <w:left w:w="0" w:type="dxa"/>
            <w:bottom w:w="0" w:type="dxa"/>
            <w:right w:w="0" w:type="dxa"/>
          </w:tblCellMar>
        </w:tblPrEx>
        <w:tc>
          <w:tcPr>
            <w:tcW w:w="4855" w:type="dxa"/>
            <w:shd w:val="clear" w:color="auto" w:fill="FFFFFF"/>
            <w:noWrap/>
            <w:tcMar>
              <w:top w:w="75" w:type="dxa"/>
              <w:left w:w="75" w:type="dxa"/>
              <w:bottom w:w="75" w:type="dxa"/>
              <w:right w:w="75" w:type="dxa"/>
            </w:tcMar>
            <w:vAlign w:val="center"/>
          </w:tcPr>
          <w:p w:rsidR="00EC7A1D" w:rsidRDefault="00EC7A1D" w14:paraId="6E53F16B" w14:textId="77777777">
            <w:pPr>
              <w:spacing w:line="240" w:lineRule="auto"/>
            </w:pPr>
          </w:p>
        </w:tc>
        <w:tc>
          <w:tcPr>
            <w:tcW w:w="4856" w:type="dxa"/>
            <w:shd w:val="clear" w:color="auto" w:fill="FFFFFF"/>
            <w:noWrap/>
            <w:tcMar>
              <w:top w:w="75" w:type="dxa"/>
              <w:left w:w="75" w:type="dxa"/>
              <w:bottom w:w="75" w:type="dxa"/>
              <w:right w:w="75" w:type="dxa"/>
            </w:tcMar>
            <w:vAlign w:val="center"/>
          </w:tcPr>
          <w:p w:rsidR="00EC7A1D" w:rsidRDefault="00E41974" w14:paraId="256179C1" w14:textId="77777777">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rsidR="00EC7A1D" w:rsidRDefault="00EC7A1D" w14:paraId="27889989" w14:textId="77777777">
            <w:pPr>
              <w:spacing w:line="240" w:lineRule="auto"/>
            </w:pPr>
          </w:p>
        </w:tc>
      </w:tr>
    </w:tbl>
    <w:p w:rsidR="00EC7A1D" w:rsidRDefault="00EC7A1D" w14:paraId="7394FF37" w14:textId="77777777"/>
    <w:p w:rsidR="00EC7A1D" w:rsidRDefault="00E41974" w14:paraId="360FC7EF" w14:textId="77777777">
      <w:r>
        <w:t>Piezīmes.</w:t>
      </w:r>
    </w:p>
    <w:p w:rsidR="00EC7A1D" w:rsidRDefault="00E41974" w14:paraId="1675E57B" w14:textId="77777777">
      <w:r>
        <w:t>* Iesniedzējs (fiziskai personai – vārds, uzvārds, juridiskai personai – nosaukums) var tikt publiskots, ja viņš tam ir piekritis. Ja attiecināms, iesniedzējs norāda interešu pārstāvja reģistrācijas numuru.</w:t>
      </w:r>
    </w:p>
    <w:p w:rsidR="00EC7A1D" w:rsidRDefault="00E41974" w14:paraId="43F1685D" w14:textId="77777777">
      <w:r>
        <w:t>** Dokumenta rekvizītus "datums" un "paraksts" neaizpilda, ja elektroniskais dokuments ir sagatavots atbilstoši normatīvajiem aktiem par elektronisko dokumentu noformēšanu.</w:t>
      </w:r>
    </w:p>
    <w:sectPr w:rsidR="00EC7A1D">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974" w:rsidRDefault="00E41974" w14:paraId="5232E2F6" w14:textId="77777777">
      <w:r>
        <w:separator/>
      </w:r>
    </w:p>
  </w:endnote>
  <w:endnote w:type="continuationSeparator" w:id="0">
    <w:p w:rsidR="00E41974" w:rsidRDefault="00E41974" w14:paraId="15EDB1F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1D" w:rsidRDefault="00E41974" w14:paraId="4A276091" w14:textId="77777777">
    <w:pPr>
      <w:jc w:val="right"/>
    </w:pPr>
    <w:r>
      <w:rPr>
        <w:sz w:val="24"/>
        <w:szCs w:val="24"/>
      </w:rPr>
      <w:fldChar w:fldCharType="begin"/>
    </w:r>
    <w:r>
      <w:rPr>
        <w:sz w:val="24"/>
        <w:szCs w:val="24"/>
      </w:rPr>
      <w:instrText>PAGE</w:instrText>
    </w:r>
    <w:r w:rsidR="005B54FC">
      <w:rPr>
        <w:sz w:val="24"/>
        <w:szCs w:val="24"/>
      </w:rPr>
      <w:fldChar w:fldCharType="separate"/>
    </w:r>
    <w:r w:rsidR="005B54F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74" w:rsidRDefault="00E41974" w14:paraId="0A73CC5B"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974" w:rsidRDefault="00E41974" w14:paraId="19222C20" w14:textId="77777777">
      <w:r>
        <w:separator/>
      </w:r>
    </w:p>
  </w:footnote>
  <w:footnote w:type="continuationSeparator" w:id="0">
    <w:p w:rsidR="00E41974" w:rsidRDefault="00E41974" w14:paraId="563CC7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1D" w:rsidRDefault="00E41974" w14:paraId="51A9B664" w14:textId="77777777">
    <w:pPr>
      <w:pStyle w:val="Galvene"/>
      <w:contextualSpacing w:val="0"/>
    </w:pPr>
    <w:r>
      <w:t>Viedokļu pārskats 25-TA-2322</w:t>
    </w:r>
    <w:r>
      <w:br/>
    </w:r>
    <w:r>
      <w:t>Izdrukāts 08.11.2025. 10.53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1D" w:rsidRDefault="00E41974" w14:paraId="05C8A2BB" w14:textId="77777777">
    <w:pPr>
      <w:pStyle w:val="Galvene"/>
      <w:contextualSpacing w:val="0"/>
    </w:pPr>
    <w:r>
      <w:t>Viedokļu pārskats 25-TA-2322</w:t>
    </w:r>
    <w:r>
      <w:br/>
    </w:r>
    <w:r>
      <w:t>Izdrukāts 08.11.2025. 10.53</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1D"/>
    <w:rsid w:val="005B54FC"/>
    <w:rsid w:val="00670577"/>
    <w:rsid w:val="00E41974"/>
    <w:rsid w:val="00EC7A1D"/>
    <w:rsid w:val="0593549A"/>
    <w:rsid w:val="7BD830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C944"/>
  <w15:docId w15:val="{2CDF5DD2-45BC-4805-B2D9-DDFAD1FAA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uiPriority w:val="9"/>
    <w:qFormat/>
    <w:pPr>
      <w:spacing w:after="120"/>
      <w:contextualSpacing/>
      <w:outlineLvl w:val="0"/>
    </w:pPr>
    <w:rPr>
      <w:rFonts w:ascii="Palatino" w:hAnsi="Palatino" w:eastAsia="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hAnsi="Arial" w:eastAsia="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hAnsi="Arial" w:eastAsia="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hAnsi="Palatino" w:eastAsia="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hAnsi="Arial" w:eastAsia="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hAnsi="Arial" w:eastAsia="Arial" w:cs="Arial"/>
      <w:i/>
      <w:color w:val="666666"/>
      <w:sz w:val="22"/>
      <w:u w:val="single"/>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TableNormal" w:customStyle="1">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hAnsi="Palatino" w:eastAsia="Palatino" w:cs="Palatino"/>
      <w:sz w:val="60"/>
    </w:rPr>
  </w:style>
  <w:style w:type="paragraph" w:styleId="Apakvirsraksts">
    <w:name w:val="Subtitle"/>
    <w:basedOn w:val="Parasts"/>
    <w:next w:val="Parasts"/>
    <w:uiPriority w:val="11"/>
    <w:qFormat/>
    <w:pPr>
      <w:spacing w:before="60"/>
      <w:contextualSpacing/>
    </w:pPr>
    <w:rPr>
      <w:rFonts w:ascii="Arial" w:hAnsi="Arial" w:eastAsia="Arial" w:cs="Arial"/>
    </w:rPr>
  </w:style>
  <w:style w:type="paragraph" w:styleId="paragraph" w:customStyle="1">
    <w:name w:val="paragraph"/>
    <w:basedOn w:val="Parasts"/>
    <w:next w:val="Parasts"/>
    <w:pPr>
      <w:contextualSpacing/>
    </w:pPr>
  </w:style>
  <w:style w:type="paragraph" w:styleId="paragraphheader" w:customStyle="1">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styleId="signeddocumentparagraph" w:customStyle="1">
    <w:name w:val="signed_document_paragraph"/>
    <w:basedOn w:val="Parasts"/>
    <w:next w:val="Parasts"/>
    <w:pPr>
      <w:contextualSpacing/>
      <w:jc w:val="right"/>
    </w:pPr>
    <w:rPr>
      <w:sz w:val="24"/>
    </w:rPr>
  </w:style>
  <w:style w:type="paragraph" w:styleId="boldparagraphheader" w:customStyle="1">
    <w:name w:val="bold_paragraph_header"/>
    <w:basedOn w:val="Parasts"/>
    <w:next w:val="Parasts"/>
    <w:pPr>
      <w:contextualSpacing/>
      <w:jc w:val="center"/>
    </w:pPr>
    <w:rPr>
      <w:b/>
    </w:rPr>
  </w:style>
  <w:style w:type="table" w:styleId="a" w:customStyle="1">
    <w:basedOn w:val="TableNormal"/>
    <w:tblPr>
      <w:tblStyleRowBandSize w:val="1"/>
      <w:tblStyleColBandSize w:val="1"/>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5B54FC"/>
    <w:rPr>
      <w:sz w:val="16"/>
      <w:szCs w:val="16"/>
    </w:rPr>
  </w:style>
  <w:style w:type="paragraph" w:styleId="Komentrateksts">
    <w:name w:val="annotation text"/>
    <w:basedOn w:val="Parasts"/>
    <w:link w:val="KomentratekstsRakstz"/>
    <w:uiPriority w:val="99"/>
    <w:unhideWhenUsed/>
    <w:rsid w:val="005B54FC"/>
    <w:rPr>
      <w:sz w:val="20"/>
    </w:rPr>
  </w:style>
  <w:style w:type="character" w:styleId="KomentratekstsRakstz" w:customStyle="1">
    <w:name w:val="Komentāra teksts Rakstz."/>
    <w:basedOn w:val="Noklusjumarindkopasfonts"/>
    <w:link w:val="Komentrateksts"/>
    <w:uiPriority w:val="99"/>
    <w:rsid w:val="005B54FC"/>
    <w:rPr>
      <w:sz w:val="20"/>
    </w:rPr>
  </w:style>
  <w:style w:type="paragraph" w:styleId="Komentratma">
    <w:name w:val="annotation subject"/>
    <w:basedOn w:val="Komentrateksts"/>
    <w:next w:val="Komentrateksts"/>
    <w:link w:val="KomentratmaRakstz"/>
    <w:uiPriority w:val="99"/>
    <w:semiHidden/>
    <w:unhideWhenUsed/>
    <w:rsid w:val="005B54FC"/>
    <w:rPr>
      <w:b/>
      <w:bCs/>
    </w:rPr>
  </w:style>
  <w:style w:type="character" w:styleId="KomentratmaRakstz" w:customStyle="1">
    <w:name w:val="Komentāra tēma Rakstz."/>
    <w:basedOn w:val="KomentratekstsRakstz"/>
    <w:link w:val="Komentratma"/>
    <w:uiPriority w:val="99"/>
    <w:semiHidden/>
    <w:rsid w:val="005B54FC"/>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8" /><Relationship Type="http://schemas.openxmlformats.org/officeDocument/2006/relationships/footer" Target="footer2.xml" Id="rId13" /><Relationship Type="http://schemas.openxmlformats.org/officeDocument/2006/relationships/webSettings" Target="webSettings.xml" Id="rId3" /><Relationship Type="http://schemas.microsoft.com/office/2011/relationships/commentsExtended" Target="commentsExtended.xml" Id="rId7" /><Relationship Type="http://schemas.openxmlformats.org/officeDocument/2006/relationships/header" Target="header2.xml" Id="rId12" /><Relationship Type="http://schemas.openxmlformats.org/officeDocument/2006/relationships/settings" Target="settings.xml" Id="rId2" /><Relationship Type="http://schemas.openxmlformats.org/officeDocument/2006/relationships/theme" Target="theme/theme1.xml" Id="rId16" /><Relationship Type="http://schemas.openxmlformats.org/officeDocument/2006/relationships/styles" Target="styles.xml" Id="rId1" /><Relationship Type="http://schemas.openxmlformats.org/officeDocument/2006/relationships/footer" Target="footer1.xml" Id="rId11" /><Relationship Type="http://schemas.openxmlformats.org/officeDocument/2006/relationships/endnotes" Target="endnotes.xml" Id="rId5" /><Relationship Type="http://schemas.microsoft.com/office/2011/relationships/people" Target="people.xml" Id="rId1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viedoklu_parskats_25-TA-2322.docx</dc:title>
  <dc:creator>Linda Vaļte</dc:creator>
  <lastModifiedBy>Linda Vaļte</lastModifiedBy>
  <revision>4</revision>
  <dcterms:created xsi:type="dcterms:W3CDTF">2025-11-08T08:56:00.0000000Z</dcterms:created>
  <dcterms:modified xsi:type="dcterms:W3CDTF">2025-11-12T06:22:09.3532961Z</dcterms:modified>
</coreProperties>
</file>