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C387258" w14:textId="77777777" w:rsidR="00260CC7" w:rsidRDefault="00596747">
      <w:pPr>
        <w:spacing w:after="240"/>
        <w:jc w:val="center"/>
        <w:rPr>
          <w:b/>
        </w:rPr>
      </w:pPr>
      <w:r>
        <w:rPr>
          <w:b/>
        </w:rPr>
        <w:t>“Publiskās apspriešanas laikā 25.02.2025. - 11.03.2025. saņemto viedokļu, priekšlikumu un iebildumu apkopojums par Noteikumi par saistību piespiedu izpildīšanas brīdinājuma kārtībā izmantojamām veidlapām”</w:t>
      </w:r>
    </w:p>
    <w:tbl>
      <w:tblPr>
        <w:tblStyle w:val="a"/>
        <w:tblW w:w="14567" w:type="dxa"/>
        <w:tblInd w:w="0"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CellMar>
          <w:top w:w="0" w:type="dxa"/>
          <w:left w:w="0" w:type="dxa"/>
          <w:bottom w:w="0" w:type="dxa"/>
          <w:right w:w="0" w:type="dxa"/>
        </w:tblCellMar>
        <w:tblLook w:val="0600" w:firstRow="0" w:lastRow="0" w:firstColumn="0" w:lastColumn="0" w:noHBand="1" w:noVBand="1"/>
      </w:tblPr>
      <w:tblGrid>
        <w:gridCol w:w="750"/>
        <w:gridCol w:w="4055"/>
        <w:gridCol w:w="4056"/>
        <w:gridCol w:w="1650"/>
        <w:gridCol w:w="4056"/>
      </w:tblGrid>
      <w:tr w:rsidR="00260CC7" w14:paraId="4B16ACE6" w14:textId="77777777">
        <w:tblPrEx>
          <w:tblCellMar>
            <w:top w:w="0" w:type="dxa"/>
            <w:left w:w="0" w:type="dxa"/>
            <w:bottom w:w="0" w:type="dxa"/>
            <w:right w:w="0" w:type="dxa"/>
          </w:tblCellMar>
        </w:tblPrEx>
        <w:tc>
          <w:tcPr>
            <w:tcW w:w="750" w:type="dxa"/>
            <w:shd w:val="clear" w:color="auto" w:fill="FFFFFF"/>
            <w:noWrap/>
            <w:tcMar>
              <w:top w:w="75" w:type="dxa"/>
              <w:left w:w="75" w:type="dxa"/>
              <w:bottom w:w="75" w:type="dxa"/>
              <w:right w:w="75" w:type="dxa"/>
            </w:tcMar>
            <w:vAlign w:val="center"/>
          </w:tcPr>
          <w:p w14:paraId="6C874BB8" w14:textId="77777777" w:rsidR="00260CC7" w:rsidRDefault="00596747">
            <w:pPr>
              <w:spacing w:line="240" w:lineRule="auto"/>
              <w:jc w:val="center"/>
            </w:pPr>
            <w:proofErr w:type="spellStart"/>
            <w:r>
              <w:rPr>
                <w:b/>
              </w:rPr>
              <w:t>Nr.p.k</w:t>
            </w:r>
            <w:proofErr w:type="spellEnd"/>
            <w:r>
              <w:rPr>
                <w:b/>
              </w:rPr>
              <w:t>.</w:t>
            </w:r>
          </w:p>
        </w:tc>
        <w:tc>
          <w:tcPr>
            <w:tcW w:w="4055" w:type="dxa"/>
            <w:shd w:val="clear" w:color="auto" w:fill="FFFFFF"/>
            <w:noWrap/>
            <w:tcMar>
              <w:top w:w="75" w:type="dxa"/>
              <w:left w:w="75" w:type="dxa"/>
              <w:bottom w:w="75" w:type="dxa"/>
              <w:right w:w="75" w:type="dxa"/>
            </w:tcMar>
            <w:vAlign w:val="center"/>
          </w:tcPr>
          <w:p w14:paraId="1D70C310" w14:textId="77777777" w:rsidR="00260CC7" w:rsidRDefault="00596747">
            <w:pPr>
              <w:spacing w:line="240" w:lineRule="auto"/>
              <w:jc w:val="center"/>
            </w:pPr>
            <w:r>
              <w:rPr>
                <w:b/>
              </w:rPr>
              <w:t>Viedokļa / priekšlikuma / iebilduma iesniedzējs*</w:t>
            </w:r>
          </w:p>
        </w:tc>
        <w:tc>
          <w:tcPr>
            <w:tcW w:w="4056" w:type="dxa"/>
            <w:shd w:val="clear" w:color="auto" w:fill="FFFFFF"/>
            <w:noWrap/>
            <w:tcMar>
              <w:top w:w="75" w:type="dxa"/>
              <w:left w:w="75" w:type="dxa"/>
              <w:bottom w:w="75" w:type="dxa"/>
              <w:right w:w="75" w:type="dxa"/>
            </w:tcMar>
            <w:vAlign w:val="center"/>
          </w:tcPr>
          <w:p w14:paraId="09F801FA" w14:textId="77777777" w:rsidR="00260CC7" w:rsidRDefault="00596747">
            <w:pPr>
              <w:spacing w:line="240" w:lineRule="auto"/>
              <w:jc w:val="center"/>
            </w:pPr>
            <w:r>
              <w:rPr>
                <w:b/>
              </w:rPr>
              <w:t>Iesniegtā viedokļa / priekšlikuma / iebilduma būtība</w:t>
            </w:r>
          </w:p>
        </w:tc>
        <w:tc>
          <w:tcPr>
            <w:tcW w:w="1650" w:type="dxa"/>
            <w:shd w:val="clear" w:color="auto" w:fill="FFFFFF"/>
            <w:noWrap/>
            <w:tcMar>
              <w:top w:w="75" w:type="dxa"/>
              <w:left w:w="75" w:type="dxa"/>
              <w:bottom w:w="75" w:type="dxa"/>
              <w:right w:w="75" w:type="dxa"/>
            </w:tcMar>
            <w:vAlign w:val="center"/>
          </w:tcPr>
          <w:p w14:paraId="0A707A0A" w14:textId="77777777" w:rsidR="00260CC7" w:rsidRDefault="00596747">
            <w:pPr>
              <w:spacing w:line="240" w:lineRule="auto"/>
              <w:jc w:val="center"/>
            </w:pPr>
            <w:r>
              <w:rPr>
                <w:b/>
              </w:rPr>
              <w:t>Ņemts vērā / ņemts vērā daļēji / nav ņemts vērā</w:t>
            </w:r>
          </w:p>
        </w:tc>
        <w:tc>
          <w:tcPr>
            <w:tcW w:w="4056" w:type="dxa"/>
            <w:shd w:val="clear" w:color="auto" w:fill="FFFFFF"/>
            <w:noWrap/>
            <w:tcMar>
              <w:top w:w="75" w:type="dxa"/>
              <w:left w:w="75" w:type="dxa"/>
              <w:bottom w:w="75" w:type="dxa"/>
              <w:right w:w="75" w:type="dxa"/>
            </w:tcMar>
            <w:vAlign w:val="center"/>
          </w:tcPr>
          <w:p w14:paraId="1806772D" w14:textId="77777777" w:rsidR="00260CC7" w:rsidRDefault="00596747">
            <w:pPr>
              <w:spacing w:line="240" w:lineRule="auto"/>
              <w:jc w:val="center"/>
            </w:pPr>
            <w:r>
              <w:rPr>
                <w:b/>
              </w:rPr>
              <w:t>Skaidrojums, kādā veidā viedoklis / priekšlikums / iebildums ir ņemts vērā vai ņemts vērā daļēji, vai pamatojums, ja viedoklis / priekšlikums / iebildums nav ņemts vērā</w:t>
            </w:r>
          </w:p>
        </w:tc>
      </w:tr>
      <w:tr w:rsidR="00260CC7" w14:paraId="56291901" w14:textId="77777777">
        <w:tblPrEx>
          <w:tblCellMar>
            <w:top w:w="0" w:type="dxa"/>
            <w:left w:w="0" w:type="dxa"/>
            <w:bottom w:w="0" w:type="dxa"/>
            <w:right w:w="0" w:type="dxa"/>
          </w:tblCellMar>
        </w:tblPrEx>
        <w:tc>
          <w:tcPr>
            <w:tcW w:w="750" w:type="dxa"/>
            <w:shd w:val="clear" w:color="auto" w:fill="FFFFFF"/>
            <w:noWrap/>
            <w:tcMar>
              <w:top w:w="75" w:type="dxa"/>
              <w:left w:w="75" w:type="dxa"/>
              <w:bottom w:w="75" w:type="dxa"/>
              <w:right w:w="75" w:type="dxa"/>
            </w:tcMar>
            <w:vAlign w:val="center"/>
          </w:tcPr>
          <w:p w14:paraId="3FF3CC32" w14:textId="77777777" w:rsidR="00260CC7" w:rsidRDefault="00596747">
            <w:pPr>
              <w:spacing w:line="240" w:lineRule="auto"/>
              <w:jc w:val="center"/>
            </w:pPr>
            <w:r>
              <w:t>1.</w:t>
            </w:r>
          </w:p>
        </w:tc>
        <w:tc>
          <w:tcPr>
            <w:tcW w:w="4055" w:type="dxa"/>
            <w:shd w:val="clear" w:color="auto" w:fill="FFFFFF"/>
            <w:noWrap/>
            <w:tcMar>
              <w:top w:w="75" w:type="dxa"/>
              <w:left w:w="75" w:type="dxa"/>
              <w:bottom w:w="75" w:type="dxa"/>
              <w:right w:w="75" w:type="dxa"/>
            </w:tcMar>
            <w:vAlign w:val="center"/>
          </w:tcPr>
          <w:p w14:paraId="06ED6F70" w14:textId="77777777" w:rsidR="00260CC7" w:rsidRDefault="00596747">
            <w:pPr>
              <w:spacing w:line="240" w:lineRule="auto"/>
              <w:jc w:val="left"/>
            </w:pPr>
            <w:r>
              <w:t>*SIA "</w:t>
            </w:r>
            <w:proofErr w:type="spellStart"/>
            <w:r>
              <w:t>GelvoraSergel</w:t>
            </w:r>
            <w:proofErr w:type="spellEnd"/>
            <w:r>
              <w:t>"</w:t>
            </w:r>
          </w:p>
        </w:tc>
        <w:tc>
          <w:tcPr>
            <w:tcW w:w="4056" w:type="dxa"/>
            <w:shd w:val="clear" w:color="auto" w:fill="FFFFFF"/>
            <w:noWrap/>
            <w:tcMar>
              <w:top w:w="75" w:type="dxa"/>
              <w:left w:w="75" w:type="dxa"/>
              <w:bottom w:w="75" w:type="dxa"/>
              <w:right w:w="75" w:type="dxa"/>
            </w:tcMar>
            <w:vAlign w:val="center"/>
          </w:tcPr>
          <w:p w14:paraId="5DD8C3EC" w14:textId="77777777" w:rsidR="00260CC7" w:rsidRDefault="00596747">
            <w:pPr>
              <w:spacing w:line="240" w:lineRule="auto"/>
              <w:jc w:val="left"/>
            </w:pPr>
            <w:r>
              <w:t>25.02.2025. Tieslietu ministrija publiskai apspriešanai izsludinājusi noteikumu projektu tiesību akta projektam- Noteikumi par saistību piespiedu izpildīšanas brīdinājuma kārtībā izmantojamām veidlapām. Sabiedrības pārstāvjiem līdz 11.03.2025. ir iespēja līdzdarboties noteikumu projekta izstrādē, rakstiski sniedzot viedokli atbilstoši Ministru kabineta 2024. gada 15. oktobra noteikumu Nr.  639 “Sabiedrības līdzdalības kārtība attīstības plānošanas procesā” 18.2. punktam.</w:t>
            </w:r>
            <w:r>
              <w:br/>
            </w:r>
            <w:r>
              <w:rPr>
                <w:b/>
              </w:rPr>
              <w:lastRenderedPageBreak/>
              <w:t>Priekšlikums par 6% nokavējuma procentu aprēķināšanas lūguma iekļaušanu veidlapā</w:t>
            </w:r>
            <w:r>
              <w:br/>
            </w:r>
            <w:r>
              <w:t>SIA “</w:t>
            </w:r>
            <w:proofErr w:type="spellStart"/>
            <w:r>
              <w:t>GelvoraSergel</w:t>
            </w:r>
            <w:proofErr w:type="spellEnd"/>
            <w:r>
              <w:t>”, reģ.Nr.40103837691, izmantojot e-lietas portālu (www.elieta.lv), regulāri iesniedz pieteikumus par saistību piespiedu izpildīšanu brīdinājuma kārtībā (turpmāk tekstā – Pieteikums). Šobrīd pastāvošā prakse nosaka, ka lūgums par 6% likumisko procentu aprēķināšanu tiek pievienots kā atsevišķs pielikums pie Pieteikuma.</w:t>
            </w:r>
            <w:r>
              <w:br/>
            </w:r>
            <w:r>
              <w:t>SIA “</w:t>
            </w:r>
            <w:proofErr w:type="spellStart"/>
            <w:r>
              <w:t>GelvoraSergel</w:t>
            </w:r>
            <w:proofErr w:type="spellEnd"/>
            <w:r>
              <w:t xml:space="preserve">” ir pieteikumu iesniedzējs </w:t>
            </w:r>
            <w:proofErr w:type="spellStart"/>
            <w:r>
              <w:t>padsmit</w:t>
            </w:r>
            <w:proofErr w:type="spellEnd"/>
            <w:r>
              <w:t xml:space="preserve"> tūkstošos lietu – viens no aktīvākajie</w:t>
            </w:r>
            <w:r>
              <w:t>m pieteicējiem Latvijā.  SIA “</w:t>
            </w:r>
            <w:proofErr w:type="spellStart"/>
            <w:r>
              <w:t>GelvoraSergel</w:t>
            </w:r>
            <w:proofErr w:type="spellEnd"/>
            <w:r>
              <w:t xml:space="preserve">” katru gadu tiesā iesniedz vairāk kā 20 000 tūkstošu Pieteikumu un līdz šim pieteicējam ir jāveic papildu darbs, sagatavojot un pievienojot pieteikumiem vēl atsevišķus pielikumus par nokavējuma procentiem </w:t>
            </w:r>
            <w:r>
              <w:lastRenderedPageBreak/>
              <w:t>iekļaušanu lēmumā. Šāda prakse ir laikietilpīga un rada ievērojamu administratīvo slogu gan pieteikuma iesniedzējiem, gan tiesām, kuru varētu samazināt. Ja iespēja norādīt lūgumu par nokavējuma procentu aprēķināšanu tiktu integrēta tieši e-veidlapā, tas ievērojam</w:t>
            </w:r>
            <w:r>
              <w:t>i samazinātu administratīvo slogu un valsts resursus, un vienkāršotu procesu gan pieteikuma iesniedzējiem, gan tiesu sistēmai, t.sk. samazinot IT resursus, kuri nepieciešami atsevišķo pieteikumu kā Word dokumentu glabāšanai.</w:t>
            </w:r>
            <w:r>
              <w:br/>
            </w:r>
            <w:r>
              <w:t>SIA “</w:t>
            </w:r>
            <w:proofErr w:type="spellStart"/>
            <w:r>
              <w:t>GelvoraSergel</w:t>
            </w:r>
            <w:proofErr w:type="spellEnd"/>
            <w:r>
              <w:t>” vērš uzmanību, ka saskaņā ar Augstākās tiesas Senāta Civillietu departamenta 25.11.2009. nolēmumā lietā Nr.SPC-111/2009 paustajām atziņām, tiesai, neatkarīgi no tā, vai prasītājs to ir lūdzis, spriedumā ir jānorāda tiesības saņemt likumiskos procentus. Ņemot vērā Civ</w:t>
            </w:r>
            <w:r>
              <w:t xml:space="preserve">ilprocesa likuma 195.panta </w:t>
            </w:r>
            <w:proofErr w:type="spellStart"/>
            <w:r>
              <w:t>imperatīvo</w:t>
            </w:r>
            <w:proofErr w:type="spellEnd"/>
            <w:r>
              <w:t xml:space="preserve"> raksturu un judikatūru, </w:t>
            </w:r>
            <w:r>
              <w:lastRenderedPageBreak/>
              <w:t>konkrētā norma pēc analoģijas jāpiemēro un dzīvē tā tiek piemērota arī vienkāršotos un paātrinātos tiesvedības procesos, radot Zemesgrāmatu tiesnešiem pienākumu lēmumā par saistību piespiedu izpildīšanu brīdinājuma kārtībā norādīt prasītāja tiesības saņemt likumiskos procentus (Skatīt Augstākās tiesas Senāta Civillietu departamenta 25.11.2009. nolēmumu lietā Nr.SPC-111/2009).</w:t>
            </w:r>
            <w:r>
              <w:br/>
            </w:r>
            <w:r>
              <w:t>Papildus SIA “</w:t>
            </w:r>
            <w:proofErr w:type="spellStart"/>
            <w:r>
              <w:t>GelvoraSergel</w:t>
            </w:r>
            <w:proofErr w:type="spellEnd"/>
            <w:r>
              <w:t>” vērš uzmanību uz Augstākās tiesas Senāta C</w:t>
            </w:r>
            <w:r>
              <w:t xml:space="preserve">ivillietu departamenta senatoru kopsapulces 15.12.2021. lēmumā norādīto skaidrojumu [..] lietas dalībniekam pienākas procenti ne vien par pamatparādu, kura atmaksa nav notikusi sprieduma labprātīgai izpildei noteiktajā termiņā, bet arī par citiem maksājumiem, kuri parādniekam bija jāveic šajā termiņā, tostarp par piedzītajām summām, kas izriet no apmierinātajiem blakus </w:t>
            </w:r>
            <w:r>
              <w:lastRenderedPageBreak/>
              <w:t>prasījumiem, kā arī par piedzītajiem tiesāšanās izdevumiem. (Skatīt Augstākās tiesas Senāta Civillietu departamenta senatoru kopsapulces 15.</w:t>
            </w:r>
            <w:r>
              <w:t>12.2021. lēmumu).</w:t>
            </w:r>
            <w:r>
              <w:br/>
            </w:r>
            <w:r>
              <w:t>Ņemot vērā iepriekš minēto, SIA “</w:t>
            </w:r>
            <w:proofErr w:type="spellStart"/>
            <w:r>
              <w:t>GelvoraSergel</w:t>
            </w:r>
            <w:proofErr w:type="spellEnd"/>
            <w:r>
              <w:t xml:space="preserve">” </w:t>
            </w:r>
            <w:r>
              <w:rPr>
                <w:b/>
                <w:u w:val="single"/>
              </w:rPr>
              <w:t>priekšlikums integrēt atzīmi par lūgumu par likumisko 6% nokavējuma procentu aprēķināšanu e-lietas portāla veidlapā</w:t>
            </w:r>
            <w:r>
              <w:t xml:space="preserve"> ir pamatots un atbilstošs esošajam normatīvajam regulējumam. Turklāt, ņemot vērā tiesu praksē atzītos principus, kas nosaka tiesību uz likumiskajiem procentiem, šāda pieeja veicinātu likuma ievērošanu un tiesiskuma nodrošināšanu arī paātrinātajos tiesvedības procesos. Integrējot šo atzīmi e-veidlapas pieteikumā, tiktu uzlabota p</w:t>
            </w:r>
            <w:r>
              <w:t xml:space="preserve">rocedūru efektivitāte, kā arī nodrošināta atbilstība normatīvajam regulējumam par likumisko procentu aprēķināšanu un iekļaušanu nolēmumā. Tomēr </w:t>
            </w:r>
            <w:r>
              <w:lastRenderedPageBreak/>
              <w:t>jāņem vērā, ka Civilprocesa likuma 406.3 panta otrajā daļā nav iekļauts punkts attiecībā uz šādu atzīmi, līdz ar to būtu nepieciešamība arī veikt normatīvo regulējumu, lai nodrošinātu šāda lūguma integrēšanu e-veidlapā.</w:t>
            </w:r>
            <w:r>
              <w:br/>
            </w:r>
            <w:r>
              <w:t>Tāpat SIA “</w:t>
            </w:r>
            <w:proofErr w:type="spellStart"/>
            <w:r>
              <w:t>GelvoraSergel</w:t>
            </w:r>
            <w:proofErr w:type="spellEnd"/>
            <w:r>
              <w:t>” sniedz juridiskos pakalpojumus klientiem, tostarp arī pieteikumu iesniegšanu saistību piespiedu izpildes procesā brīdināju</w:t>
            </w:r>
            <w:r>
              <w:t>ma kārtībā pilnvarotās personas vārdā. Saskaņā ar Civilprocesa likumu pieteikumiem par saistību piespiedu izpildi brīdinājuma kārtībā nav noteikta prasība pievienot pilnvarotās personas pilnvaru, bet gan tikai norādīt pārstāvības pamatojumu.</w:t>
            </w:r>
            <w:r>
              <w:br/>
            </w:r>
            <w:r>
              <w:t xml:space="preserve">Vēršam uzmanību, ka, ja iepriekš minētais priekšlikums tiek atstāts bez ievērības, tad šādā gadījumā kreditoram kā pakalpojuma sniedzējam rastos papildus pienākums pievienot pilnvaru katram Pieteikumam, līdz ar to arī </w:t>
            </w:r>
            <w:r>
              <w:lastRenderedPageBreak/>
              <w:t>tas aizņemtu papildu IT resursus, glabājot dokumentu</w:t>
            </w:r>
            <w:r>
              <w:t xml:space="preserve"> failus, un radītu papildus administratīvo slogu gan pieteikuma iesniedzējiem, gan tiesām.</w:t>
            </w:r>
            <w:r>
              <w:br/>
            </w:r>
            <w:r>
              <w:t>Tādēļ SIA “</w:t>
            </w:r>
            <w:proofErr w:type="spellStart"/>
            <w:r>
              <w:t>GelvoraSergel</w:t>
            </w:r>
            <w:proofErr w:type="spellEnd"/>
            <w:r>
              <w:t>” ieskatā ir būtiski izvērtēt šo priekšlikumu, jo tā ieviešana samazinātu laiku, kas nepieciešams pieteikuma iesniegšanai, padarot procesu efektīvāku, skaidrāku un mazāk birokrātisku.</w:t>
            </w:r>
          </w:p>
        </w:tc>
        <w:tc>
          <w:tcPr>
            <w:tcW w:w="1650" w:type="dxa"/>
            <w:shd w:val="clear" w:color="auto" w:fill="FFFFFF"/>
            <w:noWrap/>
            <w:tcMar>
              <w:top w:w="75" w:type="dxa"/>
              <w:left w:w="75" w:type="dxa"/>
              <w:bottom w:w="75" w:type="dxa"/>
              <w:right w:w="75" w:type="dxa"/>
            </w:tcMar>
            <w:vAlign w:val="center"/>
          </w:tcPr>
          <w:p w14:paraId="5FE12354" w14:textId="2ED0A482" w:rsidR="00260CC7" w:rsidRPr="00E13E06" w:rsidRDefault="00E13E06">
            <w:pPr>
              <w:spacing w:line="240" w:lineRule="auto"/>
              <w:jc w:val="left"/>
              <w:rPr>
                <w:b/>
                <w:bCs/>
              </w:rPr>
            </w:pPr>
            <w:r w:rsidRPr="00E13E06">
              <w:rPr>
                <w:b/>
                <w:bCs/>
              </w:rPr>
              <w:lastRenderedPageBreak/>
              <w:t>Nav ņemts vērā</w:t>
            </w:r>
          </w:p>
        </w:tc>
        <w:tc>
          <w:tcPr>
            <w:tcW w:w="4056" w:type="dxa"/>
            <w:shd w:val="clear" w:color="auto" w:fill="FFFFFF"/>
            <w:noWrap/>
            <w:tcMar>
              <w:top w:w="75" w:type="dxa"/>
              <w:left w:w="75" w:type="dxa"/>
              <w:bottom w:w="75" w:type="dxa"/>
              <w:right w:w="75" w:type="dxa"/>
            </w:tcMar>
            <w:vAlign w:val="center"/>
          </w:tcPr>
          <w:p w14:paraId="22DF0B03" w14:textId="72CC85B0" w:rsidR="00465A2D" w:rsidRPr="00465A2D" w:rsidRDefault="00465A2D" w:rsidP="00465A2D">
            <w:pPr>
              <w:spacing w:line="240" w:lineRule="auto"/>
              <w:jc w:val="left"/>
            </w:pPr>
            <w:r w:rsidRPr="00465A2D">
              <w:t>Augstākās tiesas Senāta Civillietu departamenta 2009.</w:t>
            </w:r>
            <w:r>
              <w:t> </w:t>
            </w:r>
            <w:r w:rsidRPr="00465A2D">
              <w:t>gada 25.</w:t>
            </w:r>
            <w:r>
              <w:t> </w:t>
            </w:r>
            <w:r w:rsidRPr="00465A2D">
              <w:t>novembra lēmumā lietā nr.</w:t>
            </w:r>
            <w:r w:rsidR="00596747">
              <w:t> </w:t>
            </w:r>
            <w:r w:rsidRPr="00465A2D">
              <w:t>SPC-111/2009 norād</w:t>
            </w:r>
            <w:r>
              <w:t>īts</w:t>
            </w:r>
            <w:r w:rsidRPr="00465A2D">
              <w:t>, ka</w:t>
            </w:r>
            <w:r>
              <w:t xml:space="preserve"> </w:t>
            </w:r>
            <w:r w:rsidRPr="00465A2D">
              <w:t>Civilprocesa likuma 195.</w:t>
            </w:r>
            <w:r>
              <w:t xml:space="preserve"> </w:t>
            </w:r>
            <w:r w:rsidRPr="00465A2D">
              <w:t>pantā ietvertajai normai ir imperatīvs raksturs. Tiesai minētās normas izpratnē, apmierinot prasību par naudas summas piedziņu, ir pienākums, neatkarīgi no prasījumā izteiktajiem lūgumiem, noteikt prasītājam tiesības par laiku līdz sprieduma izpildei saņemt procentus.</w:t>
            </w:r>
            <w:r>
              <w:t xml:space="preserve"> </w:t>
            </w:r>
            <w:r w:rsidR="00671A99">
              <w:t xml:space="preserve">Tāpat no minētā lēmuma izriet, ka </w:t>
            </w:r>
            <w:r w:rsidRPr="00465A2D">
              <w:t>Civilprocesa likuma 195.</w:t>
            </w:r>
            <w:r w:rsidR="00671A99">
              <w:t> </w:t>
            </w:r>
            <w:r w:rsidRPr="00465A2D">
              <w:t xml:space="preserve">panta noteikumi par tiesībām saņemt </w:t>
            </w:r>
            <w:r w:rsidRPr="00465A2D">
              <w:lastRenderedPageBreak/>
              <w:t xml:space="preserve">procentus līdz nolēmuma izpildei ir </w:t>
            </w:r>
            <w:r w:rsidR="00671A99">
              <w:t xml:space="preserve">attiecināmi </w:t>
            </w:r>
            <w:r>
              <w:t xml:space="preserve"> arī uz saistību piespiedu izpildīšanu brīdinājuma kārtībā</w:t>
            </w:r>
            <w:r w:rsidR="00671A99">
              <w:t xml:space="preserve"> procesu</w:t>
            </w:r>
            <w:r>
              <w:t>.</w:t>
            </w:r>
          </w:p>
          <w:p w14:paraId="5D804432" w14:textId="4C132E32" w:rsidR="00465A2D" w:rsidRDefault="00465A2D" w:rsidP="00465A2D">
            <w:pPr>
              <w:spacing w:line="240" w:lineRule="auto"/>
              <w:jc w:val="left"/>
            </w:pPr>
            <w:r w:rsidRPr="00465A2D">
              <w:t>Tātad tiesai</w:t>
            </w:r>
            <w:r>
              <w:t xml:space="preserve"> no likuma izriet pienākums </w:t>
            </w:r>
            <w:r w:rsidRPr="00465A2D">
              <w:t>spriedumā norād</w:t>
            </w:r>
            <w:r w:rsidR="00671A99">
              <w:t>īt</w:t>
            </w:r>
            <w:r w:rsidRPr="00465A2D">
              <w:t xml:space="preserve"> tiesības saņemt likumiskos procentus</w:t>
            </w:r>
            <w:r>
              <w:t xml:space="preserve"> – šis pienākums nav atkarīgs no prasītāja vai pieteicēja lūguma, līdz ar to Tieslietu ministrija nesaskata pamatu iekļaut </w:t>
            </w:r>
            <w:r w:rsidR="00671A99">
              <w:t>veidlapā lūgumu par pieteicēja</w:t>
            </w:r>
            <w:r w:rsidR="00671A99" w:rsidRPr="00671A99">
              <w:t xml:space="preserve"> tiesīb</w:t>
            </w:r>
            <w:r w:rsidR="00671A99">
              <w:t>ām</w:t>
            </w:r>
            <w:r w:rsidR="00671A99" w:rsidRPr="00671A99">
              <w:t xml:space="preserve"> par laiku līdz sprieduma izpildei (izsoles noslēguma dienai) saņemt procentus</w:t>
            </w:r>
            <w:r w:rsidR="00671A99">
              <w:t>.</w:t>
            </w:r>
          </w:p>
          <w:p w14:paraId="52DCA0D2" w14:textId="77777777" w:rsidR="00465A2D" w:rsidRDefault="00465A2D" w:rsidP="00465A2D">
            <w:pPr>
              <w:spacing w:line="240" w:lineRule="auto"/>
              <w:jc w:val="left"/>
            </w:pPr>
          </w:p>
          <w:p w14:paraId="5B152B40" w14:textId="77777777" w:rsidR="00260CC7" w:rsidRDefault="00260CC7" w:rsidP="00465A2D">
            <w:pPr>
              <w:jc w:val="left"/>
            </w:pPr>
          </w:p>
        </w:tc>
      </w:tr>
    </w:tbl>
    <w:p w14:paraId="01B124A4" w14:textId="77777777" w:rsidR="00260CC7" w:rsidRDefault="00260CC7"/>
    <w:tbl>
      <w:tblPr>
        <w:tblStyle w:val="a"/>
        <w:tblW w:w="14567" w:type="dxa"/>
        <w:tblInd w:w="0" w:type="dxa"/>
        <w:tblLayout w:type="fixed"/>
        <w:tblCellMar>
          <w:top w:w="0" w:type="dxa"/>
          <w:left w:w="0" w:type="dxa"/>
          <w:bottom w:w="0" w:type="dxa"/>
          <w:right w:w="0" w:type="dxa"/>
        </w:tblCellMar>
        <w:tblLook w:val="0600" w:firstRow="0" w:lastRow="0" w:firstColumn="0" w:lastColumn="0" w:noHBand="1" w:noVBand="1"/>
      </w:tblPr>
      <w:tblGrid>
        <w:gridCol w:w="4855"/>
        <w:gridCol w:w="4856"/>
        <w:gridCol w:w="4856"/>
      </w:tblGrid>
      <w:tr w:rsidR="00260CC7" w14:paraId="3ACDF486"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03D762ED" w14:textId="77777777" w:rsidR="00260CC7" w:rsidRDefault="00596747">
            <w:pPr>
              <w:spacing w:line="240" w:lineRule="auto"/>
              <w:jc w:val="left"/>
            </w:pPr>
            <w:r>
              <w:t>Datums**</w:t>
            </w:r>
          </w:p>
        </w:tc>
        <w:tc>
          <w:tcPr>
            <w:tcW w:w="4856" w:type="dxa"/>
            <w:shd w:val="clear" w:color="auto" w:fill="FFFFFF"/>
            <w:noWrap/>
            <w:tcMar>
              <w:top w:w="75" w:type="dxa"/>
              <w:left w:w="75" w:type="dxa"/>
              <w:bottom w:w="75" w:type="dxa"/>
              <w:right w:w="75" w:type="dxa"/>
            </w:tcMar>
            <w:vAlign w:val="center"/>
          </w:tcPr>
          <w:p w14:paraId="78FACC2E" w14:textId="77777777" w:rsidR="00260CC7" w:rsidRDefault="00260CC7">
            <w:pPr>
              <w:pBdr>
                <w:bottom w:val="single" w:sz="10" w:space="1" w:color="000000"/>
              </w:pBdr>
              <w:spacing w:line="240" w:lineRule="auto"/>
            </w:pPr>
          </w:p>
        </w:tc>
        <w:tc>
          <w:tcPr>
            <w:tcW w:w="4856" w:type="dxa"/>
            <w:shd w:val="clear" w:color="auto" w:fill="FFFFFF"/>
            <w:noWrap/>
            <w:tcMar>
              <w:top w:w="75" w:type="dxa"/>
              <w:left w:w="75" w:type="dxa"/>
              <w:bottom w:w="75" w:type="dxa"/>
              <w:right w:w="75" w:type="dxa"/>
            </w:tcMar>
            <w:vAlign w:val="center"/>
          </w:tcPr>
          <w:p w14:paraId="4877E661" w14:textId="77777777" w:rsidR="00260CC7" w:rsidRDefault="00260CC7">
            <w:pPr>
              <w:spacing w:line="240" w:lineRule="auto"/>
            </w:pPr>
          </w:p>
        </w:tc>
      </w:tr>
      <w:tr w:rsidR="00260CC7" w14:paraId="3BDBDF00"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0A2A97FE" w14:textId="77777777" w:rsidR="00260CC7" w:rsidRDefault="00260CC7">
            <w:pPr>
              <w:spacing w:line="240" w:lineRule="auto"/>
            </w:pPr>
          </w:p>
        </w:tc>
        <w:tc>
          <w:tcPr>
            <w:tcW w:w="4856" w:type="dxa"/>
            <w:shd w:val="clear" w:color="auto" w:fill="FFFFFF"/>
            <w:noWrap/>
            <w:tcMar>
              <w:top w:w="75" w:type="dxa"/>
              <w:left w:w="75" w:type="dxa"/>
              <w:bottom w:w="75" w:type="dxa"/>
              <w:right w:w="75" w:type="dxa"/>
            </w:tcMar>
            <w:vAlign w:val="center"/>
          </w:tcPr>
          <w:p w14:paraId="1F15A08D" w14:textId="77777777" w:rsidR="00260CC7" w:rsidRDefault="00596747">
            <w:pPr>
              <w:spacing w:line="240" w:lineRule="auto"/>
              <w:jc w:val="center"/>
            </w:pPr>
            <w:r>
              <w:t>(</w:t>
            </w:r>
            <w:proofErr w:type="spellStart"/>
            <w:r>
              <w:t>dd.mm.gggg</w:t>
            </w:r>
            <w:proofErr w:type="spellEnd"/>
            <w:r>
              <w:t>)</w:t>
            </w:r>
          </w:p>
        </w:tc>
        <w:tc>
          <w:tcPr>
            <w:tcW w:w="4856" w:type="dxa"/>
            <w:shd w:val="clear" w:color="auto" w:fill="FFFFFF"/>
            <w:noWrap/>
            <w:tcMar>
              <w:top w:w="75" w:type="dxa"/>
              <w:left w:w="75" w:type="dxa"/>
              <w:bottom w:w="75" w:type="dxa"/>
              <w:right w:w="75" w:type="dxa"/>
            </w:tcMar>
            <w:vAlign w:val="center"/>
          </w:tcPr>
          <w:p w14:paraId="1BBCFA52" w14:textId="77777777" w:rsidR="00260CC7" w:rsidRDefault="00260CC7">
            <w:pPr>
              <w:spacing w:line="240" w:lineRule="auto"/>
            </w:pPr>
          </w:p>
        </w:tc>
      </w:tr>
      <w:tr w:rsidR="00260CC7" w14:paraId="49A06C93"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7D06DA37" w14:textId="77777777" w:rsidR="00260CC7" w:rsidRDefault="00596747">
            <w:pPr>
              <w:spacing w:line="240" w:lineRule="auto"/>
              <w:jc w:val="left"/>
            </w:pPr>
            <w:r>
              <w:t>Atbildīgā persona</w:t>
            </w:r>
          </w:p>
        </w:tc>
        <w:tc>
          <w:tcPr>
            <w:tcW w:w="4856" w:type="dxa"/>
            <w:shd w:val="clear" w:color="auto" w:fill="FFFFFF"/>
            <w:noWrap/>
            <w:tcMar>
              <w:top w:w="75" w:type="dxa"/>
              <w:left w:w="75" w:type="dxa"/>
              <w:bottom w:w="75" w:type="dxa"/>
              <w:right w:w="75" w:type="dxa"/>
            </w:tcMar>
            <w:vAlign w:val="center"/>
          </w:tcPr>
          <w:p w14:paraId="0AEE5A4F" w14:textId="77777777" w:rsidR="00260CC7" w:rsidRDefault="00260CC7">
            <w:pPr>
              <w:pBdr>
                <w:bottom w:val="single" w:sz="10" w:space="1" w:color="000000"/>
              </w:pBdr>
              <w:spacing w:line="240" w:lineRule="auto"/>
            </w:pPr>
          </w:p>
        </w:tc>
        <w:tc>
          <w:tcPr>
            <w:tcW w:w="4856" w:type="dxa"/>
            <w:shd w:val="clear" w:color="auto" w:fill="FFFFFF"/>
            <w:noWrap/>
            <w:tcMar>
              <w:top w:w="75" w:type="dxa"/>
              <w:left w:w="75" w:type="dxa"/>
              <w:bottom w:w="75" w:type="dxa"/>
              <w:right w:w="75" w:type="dxa"/>
            </w:tcMar>
            <w:vAlign w:val="center"/>
          </w:tcPr>
          <w:p w14:paraId="750B3295" w14:textId="77777777" w:rsidR="00260CC7" w:rsidRDefault="00260CC7">
            <w:pPr>
              <w:spacing w:line="240" w:lineRule="auto"/>
            </w:pPr>
          </w:p>
        </w:tc>
      </w:tr>
      <w:tr w:rsidR="00260CC7" w14:paraId="2000E320" w14:textId="77777777">
        <w:tblPrEx>
          <w:tblCellMar>
            <w:top w:w="0" w:type="dxa"/>
            <w:left w:w="0" w:type="dxa"/>
            <w:bottom w:w="0" w:type="dxa"/>
            <w:right w:w="0" w:type="dxa"/>
          </w:tblCellMar>
        </w:tblPrEx>
        <w:tc>
          <w:tcPr>
            <w:tcW w:w="4855" w:type="dxa"/>
            <w:shd w:val="clear" w:color="auto" w:fill="FFFFFF"/>
            <w:noWrap/>
            <w:tcMar>
              <w:top w:w="75" w:type="dxa"/>
              <w:left w:w="75" w:type="dxa"/>
              <w:bottom w:w="75" w:type="dxa"/>
              <w:right w:w="75" w:type="dxa"/>
            </w:tcMar>
            <w:vAlign w:val="center"/>
          </w:tcPr>
          <w:p w14:paraId="2A72135A" w14:textId="77777777" w:rsidR="00260CC7" w:rsidRDefault="00260CC7">
            <w:pPr>
              <w:spacing w:line="240" w:lineRule="auto"/>
            </w:pPr>
          </w:p>
        </w:tc>
        <w:tc>
          <w:tcPr>
            <w:tcW w:w="4856" w:type="dxa"/>
            <w:shd w:val="clear" w:color="auto" w:fill="FFFFFF"/>
            <w:noWrap/>
            <w:tcMar>
              <w:top w:w="75" w:type="dxa"/>
              <w:left w:w="75" w:type="dxa"/>
              <w:bottom w:w="75" w:type="dxa"/>
              <w:right w:w="75" w:type="dxa"/>
            </w:tcMar>
            <w:vAlign w:val="center"/>
          </w:tcPr>
          <w:p w14:paraId="755D3643" w14:textId="77777777" w:rsidR="00260CC7" w:rsidRDefault="00596747">
            <w:pPr>
              <w:spacing w:line="240" w:lineRule="auto"/>
              <w:jc w:val="center"/>
            </w:pPr>
            <w:r>
              <w:t>(vārds, uzvārds, paraksts**)</w:t>
            </w:r>
          </w:p>
        </w:tc>
        <w:tc>
          <w:tcPr>
            <w:tcW w:w="4856" w:type="dxa"/>
            <w:shd w:val="clear" w:color="auto" w:fill="FFFFFF"/>
            <w:noWrap/>
            <w:tcMar>
              <w:top w:w="75" w:type="dxa"/>
              <w:left w:w="75" w:type="dxa"/>
              <w:bottom w:w="75" w:type="dxa"/>
              <w:right w:w="75" w:type="dxa"/>
            </w:tcMar>
            <w:vAlign w:val="center"/>
          </w:tcPr>
          <w:p w14:paraId="13F7AEFD" w14:textId="77777777" w:rsidR="00260CC7" w:rsidRDefault="00260CC7">
            <w:pPr>
              <w:spacing w:line="240" w:lineRule="auto"/>
            </w:pPr>
          </w:p>
        </w:tc>
      </w:tr>
    </w:tbl>
    <w:p w14:paraId="5D15F37A" w14:textId="77777777" w:rsidR="00260CC7" w:rsidRDefault="00260CC7"/>
    <w:p w14:paraId="2E2A79A5" w14:textId="77777777" w:rsidR="00260CC7" w:rsidRDefault="00596747">
      <w:r>
        <w:t>Piezīmes.</w:t>
      </w:r>
    </w:p>
    <w:p w14:paraId="2E897F1E" w14:textId="77777777" w:rsidR="00260CC7" w:rsidRDefault="00596747">
      <w:r>
        <w:t>* Iesniedzējs (fiziskai personai – vārds, uzvārds, juridiskai personai – nosaukums) var tikt publiskots, ja viņš tam ir piekritis. Ja attiecināms, iesniedzējs norāda interešu pārstāvja reģistrācijas numuru.</w:t>
      </w:r>
    </w:p>
    <w:p w14:paraId="6BDE6302" w14:textId="77777777" w:rsidR="00260CC7" w:rsidRDefault="00596747">
      <w:r>
        <w:t>** Dokumenta rekvizītus "datums" un "paraksts" neaizpilda, ja elektroniskais dokuments ir sagatavots atbilstoši normatīvajiem aktiem par elektronisko dokumentu noformēšanu.</w:t>
      </w:r>
    </w:p>
    <w:sectPr w:rsidR="00260CC7">
      <w:headerReference w:type="default" r:id="rId6"/>
      <w:footerReference w:type="default" r:id="rId7"/>
      <w:headerReference w:type="first" r:id="rId8"/>
      <w:footerReference w:type="first" r:id="rId9"/>
      <w:pgSz w:w="16833" w:h="11908" w:orient="landscape"/>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87FABC" w14:textId="77777777" w:rsidR="00596747" w:rsidRDefault="00596747">
      <w:r>
        <w:separator/>
      </w:r>
    </w:p>
  </w:endnote>
  <w:endnote w:type="continuationSeparator" w:id="0">
    <w:p w14:paraId="7D52D500" w14:textId="77777777" w:rsidR="00596747" w:rsidRDefault="005967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alatino">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C768E" w14:textId="77777777" w:rsidR="00260CC7" w:rsidRDefault="00596747">
    <w:pPr>
      <w:jc w:val="right"/>
    </w:pPr>
    <w:r>
      <w:rPr>
        <w:sz w:val="24"/>
        <w:szCs w:val="24"/>
      </w:rPr>
      <w:fldChar w:fldCharType="begin"/>
    </w:r>
    <w:r>
      <w:rPr>
        <w:sz w:val="24"/>
        <w:szCs w:val="24"/>
      </w:rPr>
      <w:instrText>PAGE</w:instrText>
    </w:r>
    <w:r w:rsidR="00E13E06">
      <w:rPr>
        <w:sz w:val="24"/>
        <w:szCs w:val="24"/>
      </w:rPr>
      <w:fldChar w:fldCharType="separate"/>
    </w:r>
    <w:r w:rsidR="00E13E06">
      <w:rPr>
        <w:noProof/>
        <w:sz w:val="24"/>
        <w:szCs w:val="24"/>
      </w:rPr>
      <w:t>2</w:t>
    </w:r>
    <w:r>
      <w:rPr>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F58A7" w14:textId="77777777" w:rsidR="00596747" w:rsidRDefault="00596747">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CBD5A" w14:textId="77777777" w:rsidR="00596747" w:rsidRDefault="00596747">
      <w:r>
        <w:separator/>
      </w:r>
    </w:p>
  </w:footnote>
  <w:footnote w:type="continuationSeparator" w:id="0">
    <w:p w14:paraId="378ABF3B" w14:textId="77777777" w:rsidR="00596747" w:rsidRDefault="005967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FB654" w14:textId="77777777" w:rsidR="00260CC7" w:rsidRDefault="00596747">
    <w:pPr>
      <w:pStyle w:val="Galvene"/>
      <w:contextualSpacing w:val="0"/>
    </w:pPr>
    <w:r>
      <w:t>Viedokļu pārskats 25-TA-258</w:t>
    </w:r>
    <w:r>
      <w:br/>
    </w:r>
    <w:r>
      <w:t>Izdrukāts 14.03.2025. 15.58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2FB03" w14:textId="77777777" w:rsidR="00260CC7" w:rsidRDefault="00596747">
    <w:pPr>
      <w:pStyle w:val="Galvene"/>
      <w:contextualSpacing w:val="0"/>
    </w:pPr>
    <w:r>
      <w:t>Viedokļu pārskats 25-TA-258</w:t>
    </w:r>
    <w:r>
      <w:br/>
    </w:r>
    <w:r>
      <w:t>Izdrukāts 14.03.2025. 15.58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CC7"/>
    <w:rsid w:val="00005D0E"/>
    <w:rsid w:val="00260CC7"/>
    <w:rsid w:val="0042475E"/>
    <w:rsid w:val="00465A2D"/>
    <w:rsid w:val="00535520"/>
    <w:rsid w:val="00596747"/>
    <w:rsid w:val="00671A99"/>
    <w:rsid w:val="00E13E0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21C1E"/>
  <w15:docId w15:val="{400B7B7C-75B1-4BE9-9613-40C13E0C7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8"/>
        <w:lang w:val="lv-LV" w:eastAsia="lv-LV"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uiPriority w:val="9"/>
    <w:qFormat/>
    <w:pPr>
      <w:spacing w:after="120"/>
      <w:contextualSpacing/>
      <w:outlineLvl w:val="0"/>
    </w:pPr>
    <w:rPr>
      <w:rFonts w:ascii="Palatino" w:eastAsia="Palatino" w:hAnsi="Palatino" w:cs="Palatino"/>
      <w:sz w:val="36"/>
    </w:rPr>
  </w:style>
  <w:style w:type="paragraph" w:styleId="Virsraksts2">
    <w:name w:val="heading 2"/>
    <w:basedOn w:val="Parasts"/>
    <w:next w:val="Parasts"/>
    <w:uiPriority w:val="9"/>
    <w:semiHidden/>
    <w:unhideWhenUsed/>
    <w:qFormat/>
    <w:pPr>
      <w:spacing w:before="120" w:after="160"/>
      <w:contextualSpacing/>
      <w:outlineLvl w:val="1"/>
    </w:pPr>
    <w:rPr>
      <w:rFonts w:ascii="Arial" w:eastAsia="Arial" w:hAnsi="Arial" w:cs="Arial"/>
      <w:b/>
      <w:sz w:val="26"/>
    </w:rPr>
  </w:style>
  <w:style w:type="paragraph" w:styleId="Virsraksts3">
    <w:name w:val="heading 3"/>
    <w:basedOn w:val="Parasts"/>
    <w:next w:val="Parasts"/>
    <w:uiPriority w:val="9"/>
    <w:semiHidden/>
    <w:unhideWhenUsed/>
    <w:qFormat/>
    <w:pPr>
      <w:spacing w:before="120" w:after="160"/>
      <w:contextualSpacing/>
      <w:outlineLvl w:val="2"/>
    </w:pPr>
    <w:rPr>
      <w:rFonts w:ascii="Arial" w:eastAsia="Arial" w:hAnsi="Arial" w:cs="Arial"/>
      <w:b/>
      <w:i/>
      <w:color w:val="666666"/>
      <w:sz w:val="24"/>
    </w:rPr>
  </w:style>
  <w:style w:type="paragraph" w:styleId="Virsraksts4">
    <w:name w:val="heading 4"/>
    <w:basedOn w:val="Parasts"/>
    <w:next w:val="Parasts"/>
    <w:uiPriority w:val="9"/>
    <w:semiHidden/>
    <w:unhideWhenUsed/>
    <w:qFormat/>
    <w:pPr>
      <w:spacing w:before="120" w:after="120"/>
      <w:contextualSpacing/>
      <w:outlineLvl w:val="3"/>
    </w:pPr>
    <w:rPr>
      <w:rFonts w:ascii="Palatino" w:eastAsia="Palatino" w:hAnsi="Palatino" w:cs="Palatino"/>
      <w:b/>
      <w:sz w:val="24"/>
    </w:rPr>
  </w:style>
  <w:style w:type="paragraph" w:styleId="Virsraksts5">
    <w:name w:val="heading 5"/>
    <w:basedOn w:val="Parasts"/>
    <w:next w:val="Parasts"/>
    <w:uiPriority w:val="9"/>
    <w:semiHidden/>
    <w:unhideWhenUsed/>
    <w:qFormat/>
    <w:pPr>
      <w:spacing w:before="120" w:after="120"/>
      <w:contextualSpacing/>
      <w:outlineLvl w:val="4"/>
    </w:pPr>
    <w:rPr>
      <w:rFonts w:ascii="Arial" w:eastAsia="Arial" w:hAnsi="Arial" w:cs="Arial"/>
      <w:b/>
      <w:sz w:val="22"/>
    </w:rPr>
  </w:style>
  <w:style w:type="paragraph" w:styleId="Virsraksts6">
    <w:name w:val="heading 6"/>
    <w:basedOn w:val="Parasts"/>
    <w:next w:val="Parasts"/>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pPr>
      <w:spacing w:line="644" w:lineRule="auto"/>
    </w:pPr>
    <w:tblPr>
      <w:tblCellMar>
        <w:top w:w="0" w:type="dxa"/>
        <w:left w:w="0" w:type="dxa"/>
        <w:bottom w:w="0" w:type="dxa"/>
        <w:right w:w="0" w:type="dxa"/>
      </w:tblCellMar>
    </w:tblPr>
  </w:style>
  <w:style w:type="paragraph" w:styleId="Nosaukums">
    <w:name w:val="Title"/>
    <w:basedOn w:val="Parasts"/>
    <w:next w:val="Parasts"/>
    <w:uiPriority w:val="10"/>
    <w:qFormat/>
    <w:pPr>
      <w:contextualSpacing/>
    </w:pPr>
    <w:rPr>
      <w:rFonts w:ascii="Palatino" w:eastAsia="Palatino" w:hAnsi="Palatino" w:cs="Palatino"/>
      <w:sz w:val="60"/>
    </w:rPr>
  </w:style>
  <w:style w:type="paragraph" w:styleId="Apakvirsraksts">
    <w:name w:val="Subtitle"/>
    <w:basedOn w:val="Parasts"/>
    <w:next w:val="Parasts"/>
    <w:uiPriority w:val="11"/>
    <w:qFormat/>
    <w:pPr>
      <w:spacing w:before="60"/>
      <w:contextualSpacing/>
    </w:pPr>
    <w:rPr>
      <w:rFonts w:ascii="Arial" w:eastAsia="Arial" w:hAnsi="Arial" w:cs="Arial"/>
    </w:rPr>
  </w:style>
  <w:style w:type="paragraph" w:customStyle="1" w:styleId="paragraph">
    <w:name w:val="paragraph"/>
    <w:basedOn w:val="Parasts"/>
    <w:next w:val="Parasts"/>
    <w:pPr>
      <w:contextualSpacing/>
    </w:pPr>
  </w:style>
  <w:style w:type="paragraph" w:customStyle="1" w:styleId="paragraphheader">
    <w:name w:val="paragraph_header"/>
    <w:basedOn w:val="Parasts"/>
    <w:next w:val="Parasts"/>
    <w:pPr>
      <w:spacing w:before="280" w:after="280"/>
      <w:contextualSpacing/>
    </w:pPr>
  </w:style>
  <w:style w:type="paragraph" w:styleId="Galvene">
    <w:name w:val="header"/>
    <w:basedOn w:val="Parasts"/>
    <w:next w:val="Parasts"/>
    <w:pPr>
      <w:spacing w:after="280"/>
      <w:contextualSpacing/>
      <w:jc w:val="right"/>
    </w:pPr>
    <w:rPr>
      <w:sz w:val="24"/>
    </w:rPr>
  </w:style>
  <w:style w:type="paragraph" w:customStyle="1" w:styleId="signeddocumentparagraph">
    <w:name w:val="signed_document_paragraph"/>
    <w:basedOn w:val="Parasts"/>
    <w:next w:val="Parasts"/>
    <w:pPr>
      <w:contextualSpacing/>
      <w:jc w:val="right"/>
    </w:pPr>
    <w:rPr>
      <w:sz w:val="24"/>
    </w:rPr>
  </w:style>
  <w:style w:type="paragraph" w:customStyle="1" w:styleId="boldparagraphheader">
    <w:name w:val="bold_paragraph_header"/>
    <w:basedOn w:val="Parasts"/>
    <w:next w:val="Parasts"/>
    <w:pPr>
      <w:contextualSpacing/>
      <w:jc w:val="center"/>
    </w:pPr>
    <w:rPr>
      <w:b/>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7</Pages>
  <Words>4378</Words>
  <Characters>2496</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viedoklu_parskats_25-TA-258.docx</vt:lpstr>
    </vt:vector>
  </TitlesOfParts>
  <Company/>
  <LinksUpToDate>false</LinksUpToDate>
  <CharactersWithSpaces>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viedoklu_parskats_25-TA-258.docx</dc:title>
  <dc:creator>Linda Vaļte</dc:creator>
  <cp:lastModifiedBy>Linda Vaļte</cp:lastModifiedBy>
  <cp:revision>5</cp:revision>
  <dcterms:created xsi:type="dcterms:W3CDTF">2025-03-17T10:41:00Z</dcterms:created>
  <dcterms:modified xsi:type="dcterms:W3CDTF">2025-03-17T11:19:00Z</dcterms:modified>
</cp:coreProperties>
</file>