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C00B1" w:rsidRDefault="009525F8">
      <w:pPr>
        <w:spacing w:after="240"/>
        <w:jc w:val="center"/>
        <w:rPr>
          <w:b/>
        </w:rPr>
      </w:pPr>
      <w:r>
        <w:rPr>
          <w:b/>
        </w:rPr>
        <w:t xml:space="preserve">“Publiskās apspriešanas laikā 07.11.2025. - 21.11.2025. saņemto viedokļu, priekšlikumu un iebildumu apkopojums par </w:t>
      </w:r>
      <w:proofErr w:type="spellStart"/>
      <w:r>
        <w:rPr>
          <w:b/>
        </w:rPr>
        <w:t>Grozījumi&amp;nbsp;Elektronisko</w:t>
      </w:r>
      <w:proofErr w:type="spellEnd"/>
      <w:r>
        <w:rPr>
          <w:b/>
        </w:rPr>
        <w:t xml:space="preserve"> sakaru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4C00B1">
        <w:tc>
          <w:tcPr>
            <w:tcW w:w="750" w:type="dxa"/>
            <w:shd w:val="clear" w:color="auto" w:fill="FFFFFF"/>
            <w:noWrap/>
            <w:tcMar>
              <w:top w:w="75" w:type="dxa"/>
              <w:left w:w="75" w:type="dxa"/>
              <w:bottom w:w="75" w:type="dxa"/>
              <w:right w:w="75" w:type="dxa"/>
            </w:tcMar>
            <w:vAlign w:val="center"/>
          </w:tcPr>
          <w:p w:rsidR="004C00B1" w:rsidRDefault="009525F8">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rsidR="004C00B1" w:rsidRDefault="009525F8">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rsidR="004C00B1" w:rsidRDefault="009525F8">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rsidR="004C00B1" w:rsidRDefault="009525F8">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rsidR="004C00B1" w:rsidRDefault="009525F8">
            <w:pPr>
              <w:jc w:val="center"/>
            </w:pPr>
            <w:r>
              <w:rPr>
                <w:b/>
              </w:rPr>
              <w:t>Skaidrojums, kādā veidā viedoklis / priekšlikums / iebildums ir ņemts vērā vai ņemts vērā daļēji, vai pamatojums, ja viedoklis / priekšlikums / iebildums nav ņemts vērā</w:t>
            </w:r>
          </w:p>
        </w:tc>
      </w:tr>
      <w:tr w:rsidR="004C00B1">
        <w:tc>
          <w:tcPr>
            <w:tcW w:w="750" w:type="dxa"/>
            <w:shd w:val="clear" w:color="auto" w:fill="FFFFFF"/>
            <w:noWrap/>
            <w:tcMar>
              <w:top w:w="75" w:type="dxa"/>
              <w:left w:w="75" w:type="dxa"/>
              <w:bottom w:w="75" w:type="dxa"/>
              <w:right w:w="75" w:type="dxa"/>
            </w:tcMar>
            <w:vAlign w:val="center"/>
          </w:tcPr>
          <w:p w:rsidR="004C00B1" w:rsidRDefault="009525F8">
            <w:pPr>
              <w:jc w:val="center"/>
            </w:pPr>
            <w:r>
              <w:t>1.</w:t>
            </w:r>
          </w:p>
        </w:tc>
        <w:tc>
          <w:tcPr>
            <w:tcW w:w="4055" w:type="dxa"/>
            <w:shd w:val="clear" w:color="auto" w:fill="FFFFFF"/>
            <w:noWrap/>
            <w:tcMar>
              <w:top w:w="75" w:type="dxa"/>
              <w:left w:w="75" w:type="dxa"/>
              <w:bottom w:w="75" w:type="dxa"/>
              <w:right w:w="75" w:type="dxa"/>
            </w:tcMar>
            <w:vAlign w:val="center"/>
          </w:tcPr>
          <w:p w:rsidR="004C00B1" w:rsidRDefault="009525F8">
            <w:pPr>
              <w:jc w:val="left"/>
            </w:pPr>
            <w:r>
              <w:t xml:space="preserve">Biedrība "Latvijas Telekomunikāciju asociācija", Jānis </w:t>
            </w:r>
            <w:proofErr w:type="spellStart"/>
            <w:r>
              <w:t>Lelis</w:t>
            </w:r>
            <w:proofErr w:type="spellEnd"/>
          </w:p>
        </w:tc>
        <w:tc>
          <w:tcPr>
            <w:tcW w:w="4056" w:type="dxa"/>
            <w:shd w:val="clear" w:color="auto" w:fill="FFFFFF"/>
            <w:noWrap/>
            <w:tcMar>
              <w:top w:w="75" w:type="dxa"/>
              <w:left w:w="75" w:type="dxa"/>
              <w:bottom w:w="75" w:type="dxa"/>
              <w:right w:w="75" w:type="dxa"/>
            </w:tcMar>
            <w:vAlign w:val="center"/>
          </w:tcPr>
          <w:p w:rsidR="004C00B1" w:rsidRDefault="009525F8">
            <w:pPr>
              <w:jc w:val="left"/>
            </w:pPr>
            <w:r>
              <w:t>  LATVIJAS TELEKOMUNIKĀCIJU ASOCIĀCIJA</w:t>
            </w:r>
            <w:r>
              <w:br/>
              <w:t>            TELECOMMUNICATIONS  ASSOCIATION OF LATVIA</w:t>
            </w:r>
            <w:r>
              <w:br/>
              <w:t xml:space="preserve">            Akadēmijas laukums 1 – 702. kab.,  Rīga, LV – 1050, </w:t>
            </w:r>
            <w:proofErr w:type="spellStart"/>
            <w:r>
              <w:t>Reģ</w:t>
            </w:r>
            <w:proofErr w:type="spellEnd"/>
            <w:r>
              <w:t>. Nr. 40008038986</w:t>
            </w:r>
            <w:r>
              <w:br/>
              <w:t>            Tel. + 371 29556340, info@telecom.lv</w:t>
            </w:r>
            <w:r>
              <w:br/>
            </w:r>
            <w:r>
              <w:br/>
            </w:r>
            <w:r>
              <w:br/>
              <w:t>Rīgā</w:t>
            </w:r>
            <w:r>
              <w:br/>
            </w:r>
            <w:r>
              <w:br/>
            </w:r>
            <w:r>
              <w:br/>
            </w:r>
            <w:r>
              <w:br/>
              <w:t>14.11.2025. D-818</w:t>
            </w:r>
            <w:r>
              <w:br/>
            </w:r>
            <w:r>
              <w:lastRenderedPageBreak/>
              <w:t>TAP</w:t>
            </w:r>
            <w:r>
              <w:br/>
            </w:r>
            <w:r>
              <w:br/>
            </w:r>
            <w:r>
              <w:br/>
              <w:t>Par likumprojekta “Grozījumi Elektronisko sakaru likumā” priekšlikumiem</w:t>
            </w:r>
            <w:r>
              <w:br/>
            </w:r>
            <w:r>
              <w:br/>
            </w:r>
            <w:r>
              <w:br/>
              <w:t>Biedrība “Latvijas Telekomunikāciju asociācija” (turpmāk – LTA), ir iepazinusies ar publiskajai apspriešanai nodoto likumprojektu “Grozījumi Elektronisko sakaru likumā” (24-TA-3267). Izvērtējot tā izskatīšanas gaitu, lūdzam ņemt vērā turpmāk izklāstītos iebildumus.</w:t>
            </w:r>
            <w:r>
              <w:br/>
              <w:t xml:space="preserve">Obligāta priekšapmaksas SIM karšu reģistrācija, kā to pierāda vairāku Eiropas valstu pieredze, sniedz ierobežotu praktisku efektu drošības un </w:t>
            </w:r>
            <w:proofErr w:type="spellStart"/>
            <w:r>
              <w:t>krāpniecības</w:t>
            </w:r>
            <w:proofErr w:type="spellEnd"/>
            <w:r>
              <w:t xml:space="preserve"> novēršanas jomā, taču vienlaikus rada papildu administratīvo slogu uzņēmējiem un risku sociāli neaizsargātām sabiedrības grupām. Līdzšinējā pieredze </w:t>
            </w:r>
            <w:r>
              <w:lastRenderedPageBreak/>
              <w:t>liecina, ka šāds risinājums bieži vien nesasniedz noteiktos mērķus, taču būtiski ietekmē sakaru pieejamību un lietotāju ērtības.</w:t>
            </w:r>
            <w:r>
              <w:br/>
              <w:t xml:space="preserve">Sociālais aspekts šajā jautājumā ir kritiski nozīmīgs un prasa padziļinātu </w:t>
            </w:r>
            <w:proofErr w:type="spellStart"/>
            <w:r>
              <w:t>izvērtējumu</w:t>
            </w:r>
            <w:proofErr w:type="spellEnd"/>
            <w:r>
              <w:t xml:space="preserve"> Latvijas kontekstā. Priekšapmaksas SIM karte daudziem iedzīvotājiem, īpaši senioriem un maznodrošinātajiem, ir galvenais un nereti arī vienīgais pieejamais saziņas risinājums. Tā ir vienkārša un saprotama, neprasa līgumsaistības un ļauj lietotājiem kontrolēt savus izdevumus, kā arī nodrošina pamata sakaru pieejamību.</w:t>
            </w:r>
            <w:r>
              <w:br/>
              <w:t xml:space="preserve">Obligātas reģistrācijas ieviešana var būtiski apgrūtināt šo procesu, jo daļa reģionālo tirdzniecības vietu, īpaši laukos, var nespēt nodrošināt nepieciešamos tehniskos risinājumus klientu reģistrācijai. Līdz ar to pastāv risks, ka daļa tirgotāju atteiksies no priekšapmaksas karšu tirdzniecības, kas savukārt varētu </w:t>
            </w:r>
            <w:r>
              <w:lastRenderedPageBreak/>
              <w:t>apdraudēt sakaru pieejamību reģionos un netieši ierobežot sakaru iespējas sociāli neaizsargātiem iedzīvotājiem. Šādas izmaiņas varētu vēl vairāk padziļināt digitālo plaisu un mazināt sabiedrības vienlīdzīgas piekļuves iespējas sakaru pakalpojumiem.</w:t>
            </w:r>
            <w:r>
              <w:br/>
              <w:t xml:space="preserve">Līdzīga pieredze tika novērota arī citās Eiropas valstīs. Igaunijas Informācijas tehnoloģiju un telekomunikāciju asociācija (ITL) norādīja, ka šāds aizliegums negatīvi ietekmētu personas, kuras šīs SIM kartes izmanto leģitīmiem nolūkiem, piemēram, drošības dēļ — cilvēki, kas atrodas vardarbīgās attiecībās. ITL atsaucās arī uz Iekšējās drošības akadēmijas pētījumu, kas secināja, ka nav pierādījumu, ka obligāta SIM karšu reģistrācija būtu efektīva noziedzības vai terorisma apkarošanā. Rezultātā Igaunijas </w:t>
            </w:r>
            <w:proofErr w:type="spellStart"/>
            <w:r>
              <w:t>Iekšlietu</w:t>
            </w:r>
            <w:proofErr w:type="spellEnd"/>
            <w:r>
              <w:t xml:space="preserve"> ministrija atteicās no šāda aizlieguma ieviešanas (ERR </w:t>
            </w:r>
            <w:proofErr w:type="spellStart"/>
            <w:r>
              <w:t>News</w:t>
            </w:r>
            <w:proofErr w:type="spellEnd"/>
            <w:r>
              <w:t xml:space="preserve">, “Tech </w:t>
            </w:r>
            <w:proofErr w:type="spellStart"/>
            <w:r>
              <w:t>firms</w:t>
            </w:r>
            <w:proofErr w:type="spellEnd"/>
            <w:r>
              <w:t xml:space="preserve"> </w:t>
            </w:r>
            <w:proofErr w:type="spellStart"/>
            <w:r>
              <w:t>lobby</w:t>
            </w:r>
            <w:proofErr w:type="spellEnd"/>
            <w:r>
              <w:t xml:space="preserve"> </w:t>
            </w:r>
            <w:proofErr w:type="spellStart"/>
            <w:r>
              <w:t>group</w:t>
            </w:r>
            <w:proofErr w:type="spellEnd"/>
            <w:r>
              <w:t xml:space="preserve">: </w:t>
            </w:r>
            <w:proofErr w:type="spellStart"/>
            <w:r>
              <w:lastRenderedPageBreak/>
              <w:t>Nothing</w:t>
            </w:r>
            <w:proofErr w:type="spellEnd"/>
            <w:r>
              <w:t xml:space="preserve"> to </w:t>
            </w:r>
            <w:proofErr w:type="spellStart"/>
            <w:r>
              <w:t>be</w:t>
            </w:r>
            <w:proofErr w:type="spellEnd"/>
            <w:r>
              <w:t xml:space="preserve"> </w:t>
            </w:r>
            <w:proofErr w:type="spellStart"/>
            <w:r>
              <w:t>gained</w:t>
            </w:r>
            <w:proofErr w:type="spellEnd"/>
            <w:r>
              <w:t xml:space="preserve"> </w:t>
            </w:r>
            <w:proofErr w:type="spellStart"/>
            <w:r>
              <w:t>from</w:t>
            </w:r>
            <w:proofErr w:type="spellEnd"/>
            <w:r>
              <w:t xml:space="preserve"> </w:t>
            </w:r>
            <w:proofErr w:type="spellStart"/>
            <w:r>
              <w:t>pre-paid</w:t>
            </w:r>
            <w:proofErr w:type="spellEnd"/>
            <w:r>
              <w:t xml:space="preserve"> SIM </w:t>
            </w:r>
            <w:proofErr w:type="spellStart"/>
            <w:r>
              <w:t>card</w:t>
            </w:r>
            <w:proofErr w:type="spellEnd"/>
            <w:r>
              <w:t xml:space="preserve"> </w:t>
            </w:r>
            <w:proofErr w:type="spellStart"/>
            <w:r>
              <w:t>ban</w:t>
            </w:r>
            <w:proofErr w:type="spellEnd"/>
            <w:r>
              <w:t>”, 2023).</w:t>
            </w:r>
            <w:r>
              <w:br/>
              <w:t xml:space="preserve">Lielbritānijā līdzīgi priekšlikumi tika noraidīti jau vairākos valdības pārskatos, tostarp Home Office sagatavotajā “Communications </w:t>
            </w:r>
            <w:proofErr w:type="spellStart"/>
            <w:r>
              <w:t>Data</w:t>
            </w:r>
            <w:proofErr w:type="spellEnd"/>
            <w:r>
              <w:t xml:space="preserve"> Review” (2012). Kritiķi uzsvēra, ka obligāta reģistrācija nesamazina noziedzību, jo noziedznieki pāriet uz ārvalstu SIM kartēm vai interneta balss saziņu (</w:t>
            </w:r>
            <w:proofErr w:type="spellStart"/>
            <w:r>
              <w:t>VoIP</w:t>
            </w:r>
            <w:proofErr w:type="spellEnd"/>
            <w:r>
              <w:t>) vai citiem vēl sarežģītākiem komunikāciju risinājumiem. Tāpat tika norādīts, ka šāds pasākums nesamērīgi ietekmētu sociāli neaizsargātās grupas — pensionārus, maznodrošinātos un imigrantus, kuri priekšapmaksas kartes izmanto praktisku un finansiālu apsvērumu dēļ, lai kontrolētu izdevumus, izvairītos no līgumsaistībām un nodrošinātu vienkāršu piekļuvi sakariem (</w:t>
            </w:r>
            <w:proofErr w:type="spellStart"/>
            <w:r>
              <w:t>Privacy</w:t>
            </w:r>
            <w:proofErr w:type="spellEnd"/>
            <w:r>
              <w:t xml:space="preserve"> </w:t>
            </w:r>
            <w:proofErr w:type="spellStart"/>
            <w:r>
              <w:t>International</w:t>
            </w:r>
            <w:proofErr w:type="spellEnd"/>
            <w:r>
              <w:t>, “</w:t>
            </w:r>
            <w:proofErr w:type="spellStart"/>
            <w:r>
              <w:t>Mandatory</w:t>
            </w:r>
            <w:proofErr w:type="spellEnd"/>
            <w:r>
              <w:t xml:space="preserve"> SIM </w:t>
            </w:r>
            <w:proofErr w:type="spellStart"/>
            <w:r>
              <w:t>Registration</w:t>
            </w:r>
            <w:proofErr w:type="spellEnd"/>
            <w:r>
              <w:t xml:space="preserve"> </w:t>
            </w:r>
            <w:proofErr w:type="spellStart"/>
            <w:r>
              <w:t>in</w:t>
            </w:r>
            <w:proofErr w:type="spellEnd"/>
            <w:r>
              <w:t xml:space="preserve"> </w:t>
            </w:r>
            <w:proofErr w:type="spellStart"/>
            <w:r>
              <w:t>the</w:t>
            </w:r>
            <w:proofErr w:type="spellEnd"/>
            <w:r>
              <w:t xml:space="preserve"> UK </w:t>
            </w:r>
            <w:proofErr w:type="spellStart"/>
            <w:r>
              <w:t>Debate</w:t>
            </w:r>
            <w:proofErr w:type="spellEnd"/>
            <w:r>
              <w:t>”, 2015).</w:t>
            </w:r>
            <w:r>
              <w:br/>
              <w:t xml:space="preserve">Rumānijā Konstitucionālā tiesa </w:t>
            </w:r>
            <w:r>
              <w:lastRenderedPageBreak/>
              <w:t>divas reizes — 2014. un 2020. gadā — atzina par nekonstitucionāliem likumprojektus, kas paredzēja obligātu SIM karšu reģistrāciju. Tiesa uzsvēra, ka valdība nespēja pierādīt pasākuma samērīgumu un ka šāds regulējums nepamatoti ierobežo personas tiesības uz privātumu un komunikācijas brīvību. Tā arī norādīja, ka šāds pienākums varētu radīt nesamērīgu slogu sabiedrības grupām ar ierobežotu piekļuvi identifikācijas līdzekļiem, īpaši lauku reģionos, maznodrošinātajiem vai imigrantiem (</w:t>
            </w:r>
            <w:proofErr w:type="spellStart"/>
            <w:r>
              <w:t>EDRi</w:t>
            </w:r>
            <w:proofErr w:type="spellEnd"/>
            <w:r>
              <w:t>, “</w:t>
            </w:r>
            <w:proofErr w:type="spellStart"/>
            <w:r>
              <w:t>Romania</w:t>
            </w:r>
            <w:proofErr w:type="spellEnd"/>
            <w:r>
              <w:t xml:space="preserve">: </w:t>
            </w:r>
            <w:proofErr w:type="spellStart"/>
            <w:r>
              <w:t>Mandatory</w:t>
            </w:r>
            <w:proofErr w:type="spellEnd"/>
            <w:r>
              <w:t xml:space="preserve"> SIM </w:t>
            </w:r>
            <w:proofErr w:type="spellStart"/>
            <w:r>
              <w:t>registration</w:t>
            </w:r>
            <w:proofErr w:type="spellEnd"/>
            <w:r>
              <w:t xml:space="preserve"> </w:t>
            </w:r>
            <w:proofErr w:type="spellStart"/>
            <w:r>
              <w:t>declared</w:t>
            </w:r>
            <w:proofErr w:type="spellEnd"/>
            <w:r>
              <w:t xml:space="preserve"> </w:t>
            </w:r>
            <w:proofErr w:type="spellStart"/>
            <w:r>
              <w:t>unconstitutional</w:t>
            </w:r>
            <w:proofErr w:type="spellEnd"/>
            <w:r>
              <w:t xml:space="preserve">, </w:t>
            </w:r>
            <w:proofErr w:type="spellStart"/>
            <w:r>
              <w:t>again</w:t>
            </w:r>
            <w:proofErr w:type="spellEnd"/>
            <w:r>
              <w:t>”, 2020; Liberties.eu, 2014).</w:t>
            </w:r>
            <w:r>
              <w:br/>
              <w:t xml:space="preserve">Kopumā citu valstu pieredze apliecina, ka obligāta priekšapmaksas SIM karšu reģistrācija nerisina noziedzības problēmas, bet rada papildu riskus sociālajai līdzdalībai un sakaru pieejamībai. Latvijā šie aspekti ir </w:t>
            </w:r>
            <w:r>
              <w:lastRenderedPageBreak/>
              <w:t>īpaši būtiski, jo priekšapmaksas karšu lietotāju profils bieži pārklājas ar sociāli ievainojamākajām grupām. Tādēļ jebkuri lēmumi šajā jomā ir jāpieņem, balstoties uz rūpīgu sabiedrības interešu analīzi.</w:t>
            </w:r>
            <w:r>
              <w:br/>
              <w:t xml:space="preserve">Komunikācijā ar Latvijas ekspertiem secināts, ka viņu viedoklis atbilst iepriekš minēto valstu </w:t>
            </w:r>
            <w:proofErr w:type="spellStart"/>
            <w:r>
              <w:t>nostājai</w:t>
            </w:r>
            <w:proofErr w:type="spellEnd"/>
            <w:r>
              <w:t>. Šobrīd SIM karšu reģistrācija nav lietderīga un nesasniegs cerēto efektivitāti noziedzības mazināšanā. Turklāt pastāv risks, ka priekšapmaksas karšu reģistrācija ne tikai  būtu negatīva ietekme, bet arī apgrūtinātu noziedzīgu nodarījumu izmeklēšanu un mazinātu iespējas identificēt vainīgās personas.</w:t>
            </w:r>
            <w:r>
              <w:br/>
              <w:t xml:space="preserve">Elektronisko sakaru operatori jau šobrīd īsteno pasākumus, kas nodrošina priekšapmaksas karšu drošību un caurskatāmību bez obligātas reģistrācijas. Tostarp ir noteikts aizliegums aktivizēt priekšapmaksas karšu pirmreizējo </w:t>
            </w:r>
            <w:r>
              <w:lastRenderedPageBreak/>
              <w:t xml:space="preserve">reģistrāciju ārpus Latvijas, mazinot risku, ka Latvijas SIM kartes tiek izplatītas un izmantotas ārvalstīs. Papildus tiek uzturētas </w:t>
            </w:r>
            <w:proofErr w:type="spellStart"/>
            <w:r>
              <w:t>krāpniecības</w:t>
            </w:r>
            <w:proofErr w:type="spellEnd"/>
            <w:r>
              <w:t xml:space="preserve"> monitoringa sistēmas un nodrošināta regulāra datu apmaiņa ar </w:t>
            </w:r>
            <w:proofErr w:type="spellStart"/>
            <w:r>
              <w:t>tiesībsargājošām</w:t>
            </w:r>
            <w:proofErr w:type="spellEnd"/>
            <w:r>
              <w:t xml:space="preserve"> iestādēm.</w:t>
            </w:r>
            <w:r>
              <w:br/>
              <w:t>Ja nepieciešams nodrošināt SIM karšu aprites izsekojamību līdz pārdošanas brīdim, to iespējams panākt, pilnveidojot preču aprites procesus. Šādu pilnveidojumu ieviešanai nav nepieciešams noteikt obligātu SIM karšu reģistrāciju.</w:t>
            </w:r>
            <w:r>
              <w:br/>
              <w:t xml:space="preserve">Iespējams priekšapmaksas karšu reģistrācijas iniciatīvu būtu lietderīgāk organizēt Eiropas Savienības regulējuma līmenī, kas novērstu dalībvalstu dažādo prakšu negatīvo ietekmi. Vienlaicīgi visaptveroša Eiropas Savienības līmeņa diskusija sniegtu padziļinātu analīzi par priekšapmaksas karšu reģistrācijas ietekmi uz sociālajiem, mobilo elektronisko sakaru pieejamības, </w:t>
            </w:r>
            <w:r>
              <w:lastRenderedPageBreak/>
              <w:t>noziedzības apkarošanas un citiem būtiskiem aspektiem.</w:t>
            </w:r>
            <w:r>
              <w:br/>
              <w:t>Ņemot vērā iepriekš minēto, LTA uzskata, ka priekšapmaksas karšu reģistrācijas ieviešana šobrīd nav lietderīga. Aicinām atteikties no šīs prasības noteikšanas un neiekļaut priekšapmaksas SIM karšu reģistrāciju Elektronisko sakaru likumā.</w:t>
            </w:r>
            <w:r>
              <w:br/>
            </w:r>
            <w:r>
              <w:br/>
            </w:r>
            <w:r>
              <w:br/>
              <w:t>LTA ekspertu vārdā,</w:t>
            </w:r>
            <w:r>
              <w:br/>
            </w:r>
            <w:r>
              <w:br/>
            </w:r>
            <w:r>
              <w:br/>
            </w:r>
            <w:r>
              <w:br/>
              <w:t>            Izpilddirektors                        </w:t>
            </w:r>
          </w:p>
        </w:tc>
        <w:tc>
          <w:tcPr>
            <w:tcW w:w="1650" w:type="dxa"/>
            <w:shd w:val="clear" w:color="auto" w:fill="FFFFFF"/>
            <w:noWrap/>
            <w:tcMar>
              <w:top w:w="75" w:type="dxa"/>
              <w:left w:w="75" w:type="dxa"/>
              <w:bottom w:w="75" w:type="dxa"/>
              <w:right w:w="75" w:type="dxa"/>
            </w:tcMar>
            <w:vAlign w:val="center"/>
          </w:tcPr>
          <w:p w:rsidR="004C00B1" w:rsidRDefault="00A65014">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rsidR="00B76B26" w:rsidRDefault="00B76B26" w:rsidP="00B76B26">
            <w:r>
              <w:t>Norādām, ka tiesībaizsardzības iestādes jautājumu par SIM k</w:t>
            </w:r>
            <w:bookmarkStart w:id="0" w:name="_GoBack"/>
            <w:bookmarkEnd w:id="0"/>
            <w:r>
              <w:t xml:space="preserve">aršu reģistrēšanu, pēdējo gadu laikā ir vairākkārt pārrunājušas, ņemot vērā lielo </w:t>
            </w:r>
            <w:proofErr w:type="spellStart"/>
            <w:r>
              <w:t>krāpniecības</w:t>
            </w:r>
            <w:proofErr w:type="spellEnd"/>
            <w:r>
              <w:t xml:space="preserve"> gadījumu skaita palielināšanos, un apzinās, ka noziedzīgu nodarījumu izdarītāji jau pašlaik plašos apmēros izvēlas alternatīvus, ar augstu anonimitāti nodrošinātus kanālus. Tādējādi </w:t>
            </w:r>
            <w:proofErr w:type="spellStart"/>
            <w:r>
              <w:t>Iekšlietu</w:t>
            </w:r>
            <w:proofErr w:type="spellEnd"/>
            <w:r>
              <w:t xml:space="preserve"> ministrijas padotības iestādes, izvērtējot pozitīvos un negatīvos aspektus ir izšķīrušās par SIM karšu reģistrāciju, jo tas palīdzēs noziedzīgu nodarījumu atklāšanā.</w:t>
            </w:r>
          </w:p>
          <w:p w:rsidR="00B76B26" w:rsidRDefault="00B76B26" w:rsidP="00B76B26"/>
          <w:p w:rsidR="00B76B26" w:rsidRDefault="00B76B26" w:rsidP="00B76B26">
            <w:r>
              <w:lastRenderedPageBreak/>
              <w:t xml:space="preserve">Valsts policija, kuras lietvedībā atrodas lielākā daļa valstī uzsākto kriminālprocesu, ir vērtējusi arī jautājumu un apzinās, ka noziedznieki izmantos viltotus personu apliecinošus dokumentus, kas reģistrēti uz citu personu vārda, kas protams radīs papildus slogu. Bet jāņem arī vērā, ka tirdzniecības vietās ir uzstādīta videonovērošana, kas savukārt, nepieciešamības gadījumā, papildus palīdzēs identificēt personas kriminālprocesa ietvaros un savlaicīgāk atklāt noziegumus. Savukārt pašlaik, lai noskaidrotu nereģistrētas – </w:t>
            </w:r>
            <w:proofErr w:type="spellStart"/>
            <w:r>
              <w:t>anonimizētas</w:t>
            </w:r>
            <w:proofErr w:type="spellEnd"/>
            <w:r>
              <w:t xml:space="preserve"> SIM kartes lietotāju, ir jāiegulda apjomīgs, sarežģīts darbs, kas prasa laiku un resursus, kas ir saistīts arī ar saglabājamo datu pieprasījumu apstrādi.</w:t>
            </w:r>
          </w:p>
          <w:p w:rsidR="00B76B26" w:rsidRDefault="00B76B26" w:rsidP="00B76B26">
            <w:r>
              <w:t xml:space="preserve">SIM karšu reģistrācija palīdzēs atklāt un novērst tā saucamo "ielas noziedzību", noziegumus pret īpašumu, kā arī neplānotus noziegumus. Savukārt ieguvēja būs sabiedrība, neskatoties uz to, </w:t>
            </w:r>
            <w:r>
              <w:lastRenderedPageBreak/>
              <w:t>ka tai būs papildu slogs – reģistrējot SIM kartes pirkumu, proti, slēdzot līgumu ar elektronisko sakaru operatoru, pastarpināti izmantojot tirdzniecības vietu un tās personālu.</w:t>
            </w:r>
          </w:p>
          <w:p w:rsidR="00B76B26" w:rsidRDefault="00B76B26" w:rsidP="00B76B26">
            <w:r>
              <w:t xml:space="preserve">Norādām, ka, ja netiek reģistrētas SIM kartes, Valsts policija ir konstatējusi, tostarp pastāv šādas problēmas: tālruņa lietotāji ir anonīmi (jebkurai institūcijai); anonimitāte apgrūtina tādu noziedzīgu darbību uzraudzību kā narkotiku tirdzniecība, krāpšana vai terorisms; SIM kartes tiek izmantotas vienreizēji, apgrūtinot ilgtermiņa izsekošanu un pierādījumu vākšanu; pašreizējā nesaskaņotā tiesiskā situācija ES valstīs ļauj noziedzniekiem izmanto citās dalībvalstīs, ar mazāk ierobežojošiem tiesību aktiem, iegādātas SIM kartes; anonīmas SIM kartes izmanto, lai izveidotu "viltotus tiešsaistes kontus", kas veicina </w:t>
            </w:r>
            <w:proofErr w:type="spellStart"/>
            <w:r>
              <w:t>kibernoziedzību</w:t>
            </w:r>
            <w:proofErr w:type="spellEnd"/>
            <w:r>
              <w:t xml:space="preserve">; lietotāju </w:t>
            </w:r>
            <w:r>
              <w:lastRenderedPageBreak/>
              <w:t>identificēšana iestādēm kļūst sarežģītāka, laikietilpīgāka un dārgāka; anonīmas SIM kartes apvienojumā ar šifrēšanu padara vēl grūtāk pārtveramus sakarus; anonīmas SIM kartes ne tikai kavē veikto noziegumu izmeklēšanu un kriminālvajāšanu, bet arī apgrūtina noziegumu novēršanu plānošanas posmā.</w:t>
            </w:r>
          </w:p>
          <w:p w:rsidR="00B76B26" w:rsidRDefault="00B76B26" w:rsidP="00B76B26"/>
          <w:p w:rsidR="00B76B26" w:rsidRDefault="00B76B26" w:rsidP="00B76B26">
            <w:r>
              <w:t>Norādām, ka vismaz 157 valstu iedzīvotājiem visā pasaulē ir jāpierāda sava identitāte, lai iegādātos – aktivizētu priekšapmaksas SIM kartes.</w:t>
            </w:r>
          </w:p>
          <w:p w:rsidR="00B76B26" w:rsidRDefault="00B76B26" w:rsidP="00B76B26"/>
          <w:p w:rsidR="00B76B26" w:rsidRDefault="00B76B26" w:rsidP="00B76B26">
            <w:r>
              <w:t xml:space="preserve">Papildus norādām, ka anotācijas 1.3. sadaļā ir norādīts, ka Valsts policija ir veikusi arī analīzi par alternatīvajām tehnoloģijām, ar kuru palīdzību tiek veikta krāpšana, izmantojot dažādas metodes, bet likumprojekta mērķis ir pēc iespējas samazināt krāpšanu skaitu, kurās tiek izmantotas SIM kartes un likumprojektā paredzētais SIM karšu galalietotāju </w:t>
            </w:r>
            <w:r>
              <w:lastRenderedPageBreak/>
              <w:t>reģistrācijas mehānisms ir viens no soļiem noziedzības samazināšanai valstī.</w:t>
            </w:r>
          </w:p>
          <w:p w:rsidR="00B76B26" w:rsidRDefault="00B76B26" w:rsidP="00B76B26"/>
          <w:p w:rsidR="00B76B26" w:rsidRDefault="00B76B26" w:rsidP="00B76B26">
            <w:r>
              <w:t xml:space="preserve">Eiropas Cilvēktiesību tiesa ir lēmusi, ka Vācijas tiesību akti, kas pieprasa personas datu vākšanu no priekšapmaksas SIM karšu lietotājiem, nepārkāpj tiesības uz privāto dzīvi un tā nav nepamatota iejaukšanās tiesībās uz privātās dzīves neaizskaramību [https://www.statewatch.org/news/2020/february/echr…], proti, Eiropas Cilvēktiesību tiesa spriedums lietā </w:t>
            </w:r>
            <w:proofErr w:type="spellStart"/>
            <w:r>
              <w:t>Breyer</w:t>
            </w:r>
            <w:proofErr w:type="spellEnd"/>
            <w:r>
              <w:t xml:space="preserve"> pret Vāciju (pieteikuma Nr. 50001/12) nosprieda, ka nav pārkāpts Eiropas Cilvēktiesību konvencijas 8. pants (tiesības uz privātās un ģimenes dzīves neaizskaramību). Lieta attiecās uz priekšapmaksas SIM kartes lietotāju datu glabāšanu telekomunikāciju uzņēmumos. Tiesa it īpaši konstatēja, ka pieteikuma iesniedzēju kā priekšapmaksas SIM karšu lietotāju vārdu un adrešu </w:t>
            </w:r>
            <w:r>
              <w:lastRenderedPageBreak/>
              <w:t>apkopošana bija ierobežots viņu tiesību aizskārums. Attiecīgajam likumam bija papildu aizsardzības pasākumi, bet cilvēki varēja vērsties arī pie neatkarīgām datu uzraudzības iestādēm, lai pārskatītu iestāžu datu pieprasījumus un vajadzības gadījumā pieprasītu tiesisko aizsardzību. Tādējādi Vācija nav pārkāpusi savas rīcības brīvības robežas ("rīcības brīvība"), piemērojot attiecīgos tiesību aktus, un, vācot datus, nav pārkāptas pieteikuma iesniedzēju tiesības".</w:t>
            </w:r>
          </w:p>
          <w:p w:rsidR="00B76B26" w:rsidRDefault="00B76B26" w:rsidP="00B76B26"/>
          <w:p w:rsidR="004C00B1" w:rsidRDefault="00B76B26" w:rsidP="00B76B26">
            <w:pPr>
              <w:jc w:val="left"/>
            </w:pPr>
            <w:r>
              <w:t xml:space="preserve">Tāpat Eiropas Cilvēktiesību Tiesa ir paudusi, ka valstīm ir pozitīvs pienākums izveidot efektīvu mehānismu noziedzīgu nodarījumu novēršanai, atklāšanai, pierādījumu avotu noskaidrošanai (skat., piemēram, ECT 2009. gada 2. marta sprieduma lietā Nr.2872/02 K.U. v </w:t>
            </w:r>
            <w:proofErr w:type="spellStart"/>
            <w:r>
              <w:t>Finland</w:t>
            </w:r>
            <w:proofErr w:type="spellEnd"/>
            <w:r>
              <w:t xml:space="preserve">, §46). Vienlaikus ECT ir arī atzinusi, ka valstīm ir plaša rīcības brīvība piemērotāko līdzekļu izvēlē </w:t>
            </w:r>
            <w:r>
              <w:lastRenderedPageBreak/>
              <w:t xml:space="preserve">minētā valsts pozitīvā pienākuma īstenošanā (skat., piemēram, ECT 2016. gada 6. jūnija sprieduma lietā Nr.37138/14 </w:t>
            </w:r>
            <w:proofErr w:type="spellStart"/>
            <w:r>
              <w:t>Szabó</w:t>
            </w:r>
            <w:proofErr w:type="spellEnd"/>
            <w:r>
              <w:t xml:space="preserve"> </w:t>
            </w:r>
            <w:proofErr w:type="spellStart"/>
            <w:r>
              <w:t>and</w:t>
            </w:r>
            <w:proofErr w:type="spellEnd"/>
            <w:r>
              <w:t xml:space="preserve"> </w:t>
            </w:r>
            <w:proofErr w:type="spellStart"/>
            <w:r>
              <w:t>Vissy</w:t>
            </w:r>
            <w:proofErr w:type="spellEnd"/>
            <w:r>
              <w:t xml:space="preserve"> v. </w:t>
            </w:r>
            <w:proofErr w:type="spellStart"/>
            <w:r>
              <w:t>Hungary</w:t>
            </w:r>
            <w:proofErr w:type="spellEnd"/>
            <w:r>
              <w:t xml:space="preserve"> §57; ECT 2006. gada 29. jūnija lēmuma lietā </w:t>
            </w:r>
            <w:proofErr w:type="spellStart"/>
            <w:r>
              <w:t>Weber</w:t>
            </w:r>
            <w:proofErr w:type="spellEnd"/>
            <w:r>
              <w:t xml:space="preserve"> </w:t>
            </w:r>
            <w:proofErr w:type="spellStart"/>
            <w:r>
              <w:t>and</w:t>
            </w:r>
            <w:proofErr w:type="spellEnd"/>
            <w:r>
              <w:t xml:space="preserve"> </w:t>
            </w:r>
            <w:proofErr w:type="spellStart"/>
            <w:r>
              <w:t>Saravia</w:t>
            </w:r>
            <w:proofErr w:type="spellEnd"/>
            <w:r>
              <w:t xml:space="preserve"> Nr.54934/00 §106; ECT 2015. gada 4.decembra sprieduma lietā Nr.47143/06 </w:t>
            </w:r>
            <w:proofErr w:type="spellStart"/>
            <w:r>
              <w:t>Roman</w:t>
            </w:r>
            <w:proofErr w:type="spellEnd"/>
            <w:r>
              <w:t xml:space="preserve"> </w:t>
            </w:r>
            <w:proofErr w:type="spellStart"/>
            <w:r>
              <w:t>Zakharov</w:t>
            </w:r>
            <w:proofErr w:type="spellEnd"/>
            <w:r>
              <w:t xml:space="preserve"> v. </w:t>
            </w:r>
            <w:proofErr w:type="spellStart"/>
            <w:r>
              <w:t>Russia</w:t>
            </w:r>
            <w:proofErr w:type="spellEnd"/>
            <w:r>
              <w:t xml:space="preserve"> §232; ECT 2020. gada 30. janvāra sprieduma lietā Nr.50001/12 </w:t>
            </w:r>
            <w:proofErr w:type="spellStart"/>
            <w:r>
              <w:t>Breyer</w:t>
            </w:r>
            <w:proofErr w:type="spellEnd"/>
            <w:r>
              <w:t xml:space="preserve"> v. </w:t>
            </w:r>
            <w:proofErr w:type="spellStart"/>
            <w:r>
              <w:t>Germany</w:t>
            </w:r>
            <w:proofErr w:type="spellEnd"/>
            <w:r>
              <w:t xml:space="preserve"> §79).</w:t>
            </w:r>
          </w:p>
        </w:tc>
      </w:tr>
      <w:tr w:rsidR="004C00B1">
        <w:tc>
          <w:tcPr>
            <w:tcW w:w="750" w:type="dxa"/>
            <w:shd w:val="clear" w:color="auto" w:fill="FFFFFF"/>
            <w:noWrap/>
            <w:tcMar>
              <w:top w:w="75" w:type="dxa"/>
              <w:left w:w="75" w:type="dxa"/>
              <w:bottom w:w="75" w:type="dxa"/>
              <w:right w:w="75" w:type="dxa"/>
            </w:tcMar>
            <w:vAlign w:val="center"/>
          </w:tcPr>
          <w:p w:rsidR="004C00B1" w:rsidRDefault="009525F8">
            <w:pPr>
              <w:jc w:val="center"/>
            </w:pPr>
            <w:r>
              <w:lastRenderedPageBreak/>
              <w:t>2.</w:t>
            </w:r>
          </w:p>
        </w:tc>
        <w:tc>
          <w:tcPr>
            <w:tcW w:w="4055" w:type="dxa"/>
            <w:shd w:val="clear" w:color="auto" w:fill="FFFFFF"/>
            <w:noWrap/>
            <w:tcMar>
              <w:top w:w="75" w:type="dxa"/>
              <w:left w:w="75" w:type="dxa"/>
              <w:bottom w:w="75" w:type="dxa"/>
              <w:right w:w="75" w:type="dxa"/>
            </w:tcMar>
            <w:vAlign w:val="center"/>
          </w:tcPr>
          <w:p w:rsidR="004C00B1" w:rsidRDefault="009525F8">
            <w:pPr>
              <w:jc w:val="left"/>
            </w:pPr>
            <w:r>
              <w:t>Latvijas Darba devēju konfederācija</w:t>
            </w:r>
          </w:p>
        </w:tc>
        <w:tc>
          <w:tcPr>
            <w:tcW w:w="4056" w:type="dxa"/>
            <w:shd w:val="clear" w:color="auto" w:fill="FFFFFF"/>
            <w:noWrap/>
            <w:tcMar>
              <w:top w:w="75" w:type="dxa"/>
              <w:left w:w="75" w:type="dxa"/>
              <w:bottom w:w="75" w:type="dxa"/>
              <w:right w:w="75" w:type="dxa"/>
            </w:tcMar>
            <w:vAlign w:val="center"/>
          </w:tcPr>
          <w:p w:rsidR="004C00B1" w:rsidRDefault="009525F8">
            <w:pPr>
              <w:jc w:val="left"/>
            </w:pPr>
            <w:r>
              <w:t xml:space="preserve">Latvijas Darba devēju konfederācija (turpmāk - LDDK) ir iepazinusies ar </w:t>
            </w:r>
            <w:proofErr w:type="spellStart"/>
            <w:r>
              <w:t>Iekšlietu</w:t>
            </w:r>
            <w:proofErr w:type="spellEnd"/>
            <w:r>
              <w:t xml:space="preserve"> ministrijas (turpmāk arī IeM) sagatavoto likumprojektu “Grozījumi Elektronisko sakaru likumā” (turpmāk – Likumprojekts) un izsaka šādus iebildumus:</w:t>
            </w:r>
            <w:r>
              <w:br/>
            </w:r>
            <w:r>
              <w:lastRenderedPageBreak/>
              <w:t>LDDK  iebilst pret Likumprojektu kopumā.</w:t>
            </w:r>
            <w:r>
              <w:br/>
              <w:t>Pamatojums:</w:t>
            </w:r>
            <w:r>
              <w:br/>
              <w:t>1.     Likumprojekta pieņemšana un visu galalietotāju datu reģistrācija nepalīdzēs nodrošināt Likumprojekta anotācijā identificēto problēmu novēršanu un labuma nodrošināšanu sabiedrībai. Tieši pretēji – iedzīvotājiem samazināsies elektronisko sakaru pakalpojumu pieejamība, savukārt likumpārkāpēji izmantos plaši pieejamos alternatīvos kanālus, kas nodrošina augstu anonimitāti.</w:t>
            </w:r>
            <w:r>
              <w:br/>
              <w:t>2.     Nav veikti aprēķini par Likumprojekta ietekmi uz administratīvo izmaksu izmaiņām juridiskām personām naudas un laika izteiksmē un sniegti to skaidrojumi.</w:t>
            </w:r>
            <w:r>
              <w:br/>
              <w:t xml:space="preserve">2.1.   Likumprojekts paredz būtiski mainīt priekšapmaksas SIM karšu tirdzniecības procesu. Šobrīd priekšapmaksas SIM kartes iespējams iegādāties lielākajā daļā mazumtirdzniecības vietu, tai </w:t>
            </w:r>
            <w:r>
              <w:lastRenderedPageBreak/>
              <w:t>skaitā reģionos, kuros nav specializētu mobilo sakaru operatoru klientu apkalpošanas centru. Reģistrācijas pienākums gulsies uz šo mazumtirdzniecības vietu darbiniekiem, prasot ievērojamas investīcijas, laiku un cilvēkresursus, lai nodrošinātu Likumprojektā paredzēto prasību izpildi, vienlaikus ievērojot Vispārīgās datu aizsardzības regulas noteikumus.</w:t>
            </w:r>
            <w:r>
              <w:br/>
              <w:t xml:space="preserve">2.2.     Līdz ar to ir pamatoti uzskatāms, ka daļa, īpaši maziem un vidējiem komersantiem piederošo, mazumtirdzniecības vietu nespēs šīs prasības izpildīt un atteiksies no SIM karšu tirdzniecības vispār, tādējādi būtiski samazinot elektronisko sakaru pakalpojumu pieejamību iedzīvotājiem (īpaši, sociāli </w:t>
            </w:r>
            <w:proofErr w:type="spellStart"/>
            <w:r>
              <w:t>mazaizsargātajām</w:t>
            </w:r>
            <w:proofErr w:type="spellEnd"/>
            <w:r>
              <w:t xml:space="preserve"> grupām, tūristiem, iedzīvotājiem mazāk apdzīvotās teritorijās, lauku reģionos).</w:t>
            </w:r>
            <w:r>
              <w:br/>
              <w:t xml:space="preserve">3.        Ar Likumprojektu paredzēts papildināt Elektronisko </w:t>
            </w:r>
            <w:r>
              <w:lastRenderedPageBreak/>
              <w:t xml:space="preserve">sakaru likuma 19.pantu, nosakot elektronisko sakaru komersanta tiesības un pienākumu pieprasīt priekšapmaksas pakalpojuma galalietotāja identifikācijas datus un tos saglabāt, taču priekšapmaksas pakalpojums nenozīmē tikai priekšapmaksas SIM karti. Likumprojekta redakcijā šādas tiesības un pienākumi būtu attiecināmi arī uz lietotājiem, kas izmanto tādus citus elektronisko sakaru priekšapmaksas pakalpojumus, kas nemaz nevar tikt izmantoti </w:t>
            </w:r>
            <w:proofErr w:type="spellStart"/>
            <w:r>
              <w:t>krāpniecības</w:t>
            </w:r>
            <w:proofErr w:type="spellEnd"/>
            <w:r>
              <w:t xml:space="preserve"> darbībām (piemēram televīzijas programmu izplatīšanas un cita satura  izplatīšanas elektronisko sakaru pakalpojumu lietotājiem).</w:t>
            </w:r>
            <w:r>
              <w:br/>
            </w:r>
            <w:r>
              <w:br/>
            </w:r>
          </w:p>
        </w:tc>
        <w:tc>
          <w:tcPr>
            <w:tcW w:w="1650" w:type="dxa"/>
            <w:shd w:val="clear" w:color="auto" w:fill="FFFFFF"/>
            <w:noWrap/>
            <w:tcMar>
              <w:top w:w="75" w:type="dxa"/>
              <w:left w:w="75" w:type="dxa"/>
              <w:bottom w:w="75" w:type="dxa"/>
              <w:right w:w="75" w:type="dxa"/>
            </w:tcMar>
            <w:vAlign w:val="center"/>
          </w:tcPr>
          <w:p w:rsidR="004C00B1" w:rsidRDefault="00A65014">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rsidR="00A65014" w:rsidRPr="00A26160" w:rsidRDefault="00E604BB" w:rsidP="00A65014">
            <w:pPr>
              <w:pStyle w:val="NormalWeb"/>
              <w:rPr>
                <w:sz w:val="28"/>
                <w:szCs w:val="28"/>
              </w:rPr>
            </w:pPr>
            <w:r w:rsidRPr="00A26160">
              <w:rPr>
                <w:sz w:val="28"/>
                <w:szCs w:val="28"/>
              </w:rPr>
              <w:t xml:space="preserve">1. </w:t>
            </w:r>
            <w:r w:rsidRPr="00A26160">
              <w:rPr>
                <w:sz w:val="28"/>
                <w:szCs w:val="28"/>
              </w:rPr>
              <w:t xml:space="preserve">Likumprojekta mērķis ir </w:t>
            </w:r>
            <w:r w:rsidRPr="00A26160">
              <w:rPr>
                <w:bCs/>
                <w:sz w:val="28"/>
                <w:szCs w:val="28"/>
              </w:rPr>
              <w:t>samazināt</w:t>
            </w:r>
            <w:r w:rsidRPr="00A26160">
              <w:rPr>
                <w:sz w:val="28"/>
                <w:szCs w:val="28"/>
              </w:rPr>
              <w:t xml:space="preserve"> anonīmu priekšapmaksas karšu izmantošanu, kas tiek izmantotas noziegumos</w:t>
            </w:r>
            <w:r w:rsidR="00A65014" w:rsidRPr="00A26160">
              <w:rPr>
                <w:sz w:val="28"/>
                <w:szCs w:val="28"/>
              </w:rPr>
              <w:t xml:space="preserve"> vai gatavojoties noziegumu izdarīšanai, kā arī noziegumu ātrākai un efektīvākai atklāšanai un izmeklēšanai</w:t>
            </w:r>
            <w:r w:rsidRPr="00A26160">
              <w:rPr>
                <w:sz w:val="28"/>
                <w:szCs w:val="28"/>
              </w:rPr>
              <w:t xml:space="preserve">. </w:t>
            </w:r>
          </w:p>
          <w:p w:rsidR="00E604BB" w:rsidRPr="00A26160" w:rsidRDefault="00E604BB" w:rsidP="00E604BB">
            <w:pPr>
              <w:pStyle w:val="NormalWeb"/>
              <w:rPr>
                <w:sz w:val="28"/>
                <w:szCs w:val="28"/>
              </w:rPr>
            </w:pPr>
            <w:r w:rsidRPr="00A26160">
              <w:rPr>
                <w:sz w:val="28"/>
                <w:szCs w:val="28"/>
              </w:rPr>
              <w:lastRenderedPageBreak/>
              <w:t xml:space="preserve">Lai gan iespēja izmantot citus, anonīmus saziņas kanālus (piemēram, ārvalstu SIM kartes, VOIP pakalpojumus) pastāv, </w:t>
            </w:r>
            <w:r w:rsidRPr="00A26160">
              <w:rPr>
                <w:bCs/>
                <w:sz w:val="28"/>
                <w:szCs w:val="28"/>
              </w:rPr>
              <w:t>nacionālo, nereģistrēto priekšapmaksas SIM karšu likvidēšana</w:t>
            </w:r>
            <w:r w:rsidRPr="00A26160">
              <w:rPr>
                <w:sz w:val="28"/>
                <w:szCs w:val="28"/>
              </w:rPr>
              <w:t xml:space="preserve"> ievērojami paaugstina noziedznieku </w:t>
            </w:r>
            <w:r w:rsidRPr="00A26160">
              <w:rPr>
                <w:bCs/>
                <w:sz w:val="28"/>
                <w:szCs w:val="28"/>
              </w:rPr>
              <w:t>izmaksas, sarežģītību un risku</w:t>
            </w:r>
            <w:r w:rsidRPr="00A26160">
              <w:rPr>
                <w:sz w:val="28"/>
                <w:szCs w:val="28"/>
              </w:rPr>
              <w:t xml:space="preserve"> veikt noziegumus Latvijas jurisdikcijā. Valsts mērķis ir maksimāli apgrūtināt šādu darbību veikšanu.</w:t>
            </w:r>
          </w:p>
          <w:p w:rsidR="00E604BB" w:rsidRPr="00A26160" w:rsidRDefault="00E604BB" w:rsidP="00E604BB">
            <w:pPr>
              <w:pStyle w:val="NormalWeb"/>
              <w:rPr>
                <w:sz w:val="28"/>
                <w:szCs w:val="28"/>
              </w:rPr>
            </w:pPr>
            <w:r w:rsidRPr="00A26160">
              <w:rPr>
                <w:sz w:val="28"/>
                <w:szCs w:val="28"/>
              </w:rPr>
              <w:t xml:space="preserve">Pieejamības samazināšanās ir </w:t>
            </w:r>
            <w:r w:rsidRPr="00A26160">
              <w:rPr>
                <w:bCs/>
                <w:sz w:val="28"/>
                <w:szCs w:val="28"/>
              </w:rPr>
              <w:t>pieļaujama blakusparādība</w:t>
            </w:r>
            <w:r w:rsidRPr="00A26160">
              <w:rPr>
                <w:sz w:val="28"/>
                <w:szCs w:val="28"/>
              </w:rPr>
              <w:t xml:space="preserve"> (</w:t>
            </w:r>
            <w:proofErr w:type="spellStart"/>
            <w:r w:rsidRPr="00A26160">
              <w:rPr>
                <w:sz w:val="28"/>
                <w:szCs w:val="28"/>
              </w:rPr>
              <w:t>trade-off</w:t>
            </w:r>
            <w:proofErr w:type="spellEnd"/>
            <w:r w:rsidRPr="00A26160">
              <w:rPr>
                <w:sz w:val="28"/>
                <w:szCs w:val="28"/>
              </w:rPr>
              <w:t xml:space="preserve">) sabiedrības drošības labad. </w:t>
            </w:r>
          </w:p>
          <w:p w:rsidR="00A65014" w:rsidRPr="00A26160" w:rsidRDefault="00A65014" w:rsidP="00A65014">
            <w:pPr>
              <w:pStyle w:val="NormalWeb"/>
              <w:rPr>
                <w:sz w:val="28"/>
                <w:szCs w:val="28"/>
              </w:rPr>
            </w:pPr>
            <w:r w:rsidRPr="00A26160">
              <w:rPr>
                <w:sz w:val="28"/>
                <w:szCs w:val="28"/>
              </w:rPr>
              <w:t xml:space="preserve">2. </w:t>
            </w:r>
            <w:r w:rsidR="00FA3042" w:rsidRPr="00A26160">
              <w:rPr>
                <w:sz w:val="28"/>
                <w:szCs w:val="28"/>
              </w:rPr>
              <w:t>Uzsveram, ka</w:t>
            </w:r>
            <w:r w:rsidRPr="00A26160">
              <w:rPr>
                <w:sz w:val="28"/>
                <w:szCs w:val="28"/>
              </w:rPr>
              <w:t xml:space="preserve"> </w:t>
            </w:r>
            <w:r w:rsidRPr="00A26160">
              <w:rPr>
                <w:bCs/>
                <w:sz w:val="28"/>
                <w:szCs w:val="28"/>
              </w:rPr>
              <w:t>sabiedrības ieguvums</w:t>
            </w:r>
            <w:r w:rsidRPr="00A26160">
              <w:rPr>
                <w:sz w:val="28"/>
                <w:szCs w:val="28"/>
              </w:rPr>
              <w:t xml:space="preserve"> no noziedzības samazināšanas, kas ir grūti kvantificējams naudā, </w:t>
            </w:r>
            <w:r w:rsidRPr="00A26160">
              <w:rPr>
                <w:bCs/>
                <w:sz w:val="28"/>
                <w:szCs w:val="28"/>
              </w:rPr>
              <w:t>atsver</w:t>
            </w:r>
            <w:r w:rsidRPr="00A26160">
              <w:rPr>
                <w:sz w:val="28"/>
                <w:szCs w:val="28"/>
              </w:rPr>
              <w:t xml:space="preserve"> komersantiem radītās izmaksas.</w:t>
            </w:r>
          </w:p>
          <w:p w:rsidR="00A65014" w:rsidRPr="00A26160" w:rsidRDefault="00A65014" w:rsidP="00A65014">
            <w:pPr>
              <w:pStyle w:val="NormalWeb"/>
              <w:rPr>
                <w:sz w:val="28"/>
                <w:szCs w:val="28"/>
              </w:rPr>
            </w:pPr>
            <w:r w:rsidRPr="00A26160">
              <w:rPr>
                <w:sz w:val="28"/>
                <w:szCs w:val="28"/>
              </w:rPr>
              <w:t xml:space="preserve">Datu apstrāde notiek elektronisko sakaru komersantu uzraudzībā, nevis tieši mazumtirgotāju. Mazumtirgotāja uzdevums ir </w:t>
            </w:r>
            <w:r w:rsidRPr="00A26160">
              <w:rPr>
                <w:bCs/>
                <w:sz w:val="28"/>
                <w:szCs w:val="28"/>
              </w:rPr>
              <w:t>identificēt</w:t>
            </w:r>
            <w:r w:rsidRPr="00A26160">
              <w:rPr>
                <w:sz w:val="28"/>
                <w:szCs w:val="28"/>
              </w:rPr>
              <w:t xml:space="preserve"> personu, kas ir </w:t>
            </w:r>
            <w:r w:rsidRPr="00A26160">
              <w:rPr>
                <w:sz w:val="28"/>
                <w:szCs w:val="28"/>
              </w:rPr>
              <w:lastRenderedPageBreak/>
              <w:t>standarta prasība daudzos nozares darījumos (piemēram, tabakas vai alkohola pārdošana ar vecuma pārbaudi). Datu reģistrācija un aizsardzība paliek operatora atbildībā, nevis mazumtirgotāja.</w:t>
            </w:r>
          </w:p>
          <w:p w:rsidR="00A65014" w:rsidRPr="00A26160" w:rsidRDefault="00A65014" w:rsidP="00A65014">
            <w:pPr>
              <w:pStyle w:val="NormalWeb"/>
              <w:rPr>
                <w:sz w:val="28"/>
                <w:szCs w:val="28"/>
              </w:rPr>
            </w:pPr>
            <w:r w:rsidRPr="00A26160">
              <w:rPr>
                <w:sz w:val="28"/>
                <w:szCs w:val="28"/>
              </w:rPr>
              <w:t>Lai mazinātu administratīvo slogu,</w:t>
            </w:r>
            <w:r w:rsidR="00FA3042" w:rsidRPr="00A26160">
              <w:rPr>
                <w:sz w:val="28"/>
                <w:szCs w:val="28"/>
              </w:rPr>
              <w:t xml:space="preserve"> komersants</w:t>
            </w:r>
            <w:r w:rsidRPr="00A26160">
              <w:rPr>
                <w:sz w:val="28"/>
                <w:szCs w:val="28"/>
              </w:rPr>
              <w:t xml:space="preserve"> var ieviest </w:t>
            </w:r>
            <w:r w:rsidRPr="00A26160">
              <w:rPr>
                <w:bCs/>
                <w:sz w:val="28"/>
                <w:szCs w:val="28"/>
              </w:rPr>
              <w:t>elektroniskas reģistrācijas sistēmas</w:t>
            </w:r>
            <w:r w:rsidRPr="00A26160">
              <w:rPr>
                <w:sz w:val="28"/>
                <w:szCs w:val="28"/>
              </w:rPr>
              <w:t xml:space="preserve"> vai </w:t>
            </w:r>
            <w:r w:rsidRPr="00A26160">
              <w:rPr>
                <w:bCs/>
                <w:sz w:val="28"/>
                <w:szCs w:val="28"/>
              </w:rPr>
              <w:t>vienkāršotu identifikācijas procedūru</w:t>
            </w:r>
            <w:r w:rsidRPr="00A26160">
              <w:rPr>
                <w:sz w:val="28"/>
                <w:szCs w:val="28"/>
              </w:rPr>
              <w:t>, kas samazina laika un cilvēkresursu patēriņu mazumtirdzniecības vietās. Šāda sistēma ļautu mazumtirgotājiem saglabāt tirdzniecību bez nepieciešamības uzņemties pilnu VDAR atbildību.</w:t>
            </w:r>
          </w:p>
          <w:p w:rsidR="00A65014" w:rsidRPr="00A26160" w:rsidRDefault="00A65014" w:rsidP="00A65014">
            <w:pPr>
              <w:pStyle w:val="NormalWeb"/>
              <w:rPr>
                <w:sz w:val="28"/>
                <w:szCs w:val="28"/>
              </w:rPr>
            </w:pPr>
            <w:r w:rsidRPr="00A26160">
              <w:rPr>
                <w:sz w:val="28"/>
                <w:szCs w:val="28"/>
              </w:rPr>
              <w:t xml:space="preserve">3. </w:t>
            </w:r>
            <w:r w:rsidRPr="00A26160">
              <w:rPr>
                <w:sz w:val="28"/>
                <w:szCs w:val="28"/>
              </w:rPr>
              <w:t xml:space="preserve">LDDK pareizi norāda uz iespējamu </w:t>
            </w:r>
            <w:r w:rsidRPr="00A26160">
              <w:rPr>
                <w:bCs/>
                <w:sz w:val="28"/>
                <w:szCs w:val="28"/>
              </w:rPr>
              <w:t>Likumprojekta tvēruma neprecizitāti</w:t>
            </w:r>
            <w:r w:rsidRPr="00A26160">
              <w:rPr>
                <w:sz w:val="28"/>
                <w:szCs w:val="28"/>
              </w:rPr>
              <w:t>. IeM mērķis</w:t>
            </w:r>
            <w:r w:rsidR="00FA3042" w:rsidRPr="00A26160">
              <w:rPr>
                <w:sz w:val="28"/>
                <w:szCs w:val="28"/>
              </w:rPr>
              <w:t xml:space="preserve"> </w:t>
            </w:r>
            <w:r w:rsidRPr="00A26160">
              <w:rPr>
                <w:sz w:val="28"/>
                <w:szCs w:val="28"/>
              </w:rPr>
              <w:t xml:space="preserve">ir </w:t>
            </w:r>
            <w:r w:rsidR="00FA3042" w:rsidRPr="00A26160">
              <w:rPr>
                <w:sz w:val="28"/>
                <w:szCs w:val="28"/>
              </w:rPr>
              <w:t xml:space="preserve">mazināt </w:t>
            </w:r>
            <w:r w:rsidRPr="00A26160">
              <w:rPr>
                <w:sz w:val="28"/>
                <w:szCs w:val="28"/>
              </w:rPr>
              <w:t>t</w:t>
            </w:r>
            <w:r w:rsidR="00FA3042" w:rsidRPr="00A26160">
              <w:rPr>
                <w:sz w:val="28"/>
                <w:szCs w:val="28"/>
              </w:rPr>
              <w:t>o</w:t>
            </w:r>
            <w:r w:rsidRPr="00A26160">
              <w:rPr>
                <w:sz w:val="28"/>
                <w:szCs w:val="28"/>
              </w:rPr>
              <w:t xml:space="preserve"> priekšapmaksas sakaru līdzekļ</w:t>
            </w:r>
            <w:r w:rsidR="00FA3042" w:rsidRPr="00A26160">
              <w:rPr>
                <w:sz w:val="28"/>
                <w:szCs w:val="28"/>
              </w:rPr>
              <w:t>u izmantošanu bez reģistrācijas</w:t>
            </w:r>
            <w:r w:rsidRPr="00A26160">
              <w:rPr>
                <w:sz w:val="28"/>
                <w:szCs w:val="28"/>
              </w:rPr>
              <w:t xml:space="preserve">, kas nodrošina </w:t>
            </w:r>
            <w:r w:rsidRPr="00A26160">
              <w:rPr>
                <w:bCs/>
                <w:sz w:val="28"/>
                <w:szCs w:val="28"/>
              </w:rPr>
              <w:t>anonīmu divpusēju saziņu</w:t>
            </w:r>
            <w:r w:rsidRPr="00A26160">
              <w:rPr>
                <w:sz w:val="28"/>
                <w:szCs w:val="28"/>
              </w:rPr>
              <w:t xml:space="preserve"> (piemēram, zvani, SMS, mobilais </w:t>
            </w:r>
            <w:r w:rsidRPr="00A26160">
              <w:rPr>
                <w:sz w:val="28"/>
                <w:szCs w:val="28"/>
              </w:rPr>
              <w:lastRenderedPageBreak/>
              <w:t>internets, kas tiek izmantots</w:t>
            </w:r>
            <w:r w:rsidR="00DA09A1" w:rsidRPr="00A26160">
              <w:rPr>
                <w:sz w:val="28"/>
                <w:szCs w:val="28"/>
              </w:rPr>
              <w:t xml:space="preserve">, piemēram, </w:t>
            </w:r>
            <w:proofErr w:type="spellStart"/>
            <w:r w:rsidRPr="00A26160">
              <w:rPr>
                <w:sz w:val="28"/>
                <w:szCs w:val="28"/>
              </w:rPr>
              <w:t>krāpniecībai</w:t>
            </w:r>
            <w:proofErr w:type="spellEnd"/>
            <w:r w:rsidRPr="00A26160">
              <w:rPr>
                <w:sz w:val="28"/>
                <w:szCs w:val="28"/>
              </w:rPr>
              <w:t>).</w:t>
            </w:r>
          </w:p>
          <w:p w:rsidR="00A65014" w:rsidRPr="00A26160" w:rsidRDefault="00A65014" w:rsidP="00A65014">
            <w:pPr>
              <w:pStyle w:val="NormalWeb"/>
              <w:rPr>
                <w:sz w:val="28"/>
                <w:szCs w:val="28"/>
              </w:rPr>
            </w:pPr>
            <w:r w:rsidRPr="00A26160">
              <w:rPr>
                <w:sz w:val="28"/>
                <w:szCs w:val="28"/>
              </w:rPr>
              <w:t>Šis iebildums</w:t>
            </w:r>
            <w:r w:rsidR="00DA09A1" w:rsidRPr="00A26160">
              <w:rPr>
                <w:sz w:val="28"/>
                <w:szCs w:val="28"/>
              </w:rPr>
              <w:t>, iespējams,</w:t>
            </w:r>
            <w:r w:rsidRPr="00A26160">
              <w:rPr>
                <w:sz w:val="28"/>
                <w:szCs w:val="28"/>
              </w:rPr>
              <w:t xml:space="preserve"> ir atrisināms, </w:t>
            </w:r>
            <w:r w:rsidRPr="00A26160">
              <w:rPr>
                <w:bCs/>
                <w:sz w:val="28"/>
                <w:szCs w:val="28"/>
              </w:rPr>
              <w:t>precizējot</w:t>
            </w:r>
            <w:r w:rsidRPr="00A26160">
              <w:rPr>
                <w:sz w:val="28"/>
                <w:szCs w:val="28"/>
              </w:rPr>
              <w:t xml:space="preserve"> Elektronisko sakaru likuma 19. pantā minēto "priekšapmaksas pakalpojumu" definīciju</w:t>
            </w:r>
            <w:r w:rsidR="00DA09A1" w:rsidRPr="00A26160">
              <w:rPr>
                <w:sz w:val="28"/>
                <w:szCs w:val="28"/>
              </w:rPr>
              <w:t xml:space="preserve">, to </w:t>
            </w:r>
            <w:r w:rsidRPr="00A26160">
              <w:rPr>
                <w:sz w:val="28"/>
                <w:szCs w:val="28"/>
              </w:rPr>
              <w:t>sašaurin</w:t>
            </w:r>
            <w:r w:rsidR="00DA09A1" w:rsidRPr="00A26160">
              <w:rPr>
                <w:sz w:val="28"/>
                <w:szCs w:val="28"/>
              </w:rPr>
              <w:t>ot</w:t>
            </w:r>
            <w:r w:rsidRPr="00A26160">
              <w:rPr>
                <w:sz w:val="28"/>
                <w:szCs w:val="28"/>
              </w:rPr>
              <w:t xml:space="preserve"> tā, lai reģistrācijas pienākums attiektos tikai uz tiem priekšapmaksas elektronisko sakaru pakalpojumiem, kas nodrošina galalietotāja iespēju veikt </w:t>
            </w:r>
            <w:r w:rsidRPr="00A26160">
              <w:rPr>
                <w:bCs/>
                <w:sz w:val="28"/>
                <w:szCs w:val="28"/>
              </w:rPr>
              <w:t>zvaniem vai īsziņām pielīdzināmu divpusēju saziņu</w:t>
            </w:r>
            <w:r w:rsidRPr="00A26160">
              <w:rPr>
                <w:sz w:val="28"/>
                <w:szCs w:val="28"/>
              </w:rPr>
              <w:t>. Tas ļautu izslēgt televīzijas programmu vai cita satura izplatīšanas pakalpojumus, kur anonimitāte nerada draudus sabiedrības drošībai.</w:t>
            </w:r>
            <w:r w:rsidR="00DA09A1" w:rsidRPr="00A26160">
              <w:rPr>
                <w:sz w:val="28"/>
                <w:szCs w:val="28"/>
              </w:rPr>
              <w:t xml:space="preserve"> Šis jautājums tiks apspriests </w:t>
            </w:r>
            <w:proofErr w:type="spellStart"/>
            <w:r w:rsidR="00DA09A1" w:rsidRPr="00A26160">
              <w:rPr>
                <w:sz w:val="28"/>
                <w:szCs w:val="28"/>
              </w:rPr>
              <w:t>Iekšlietu</w:t>
            </w:r>
            <w:proofErr w:type="spellEnd"/>
            <w:r w:rsidR="00DA09A1" w:rsidRPr="00A26160">
              <w:rPr>
                <w:sz w:val="28"/>
                <w:szCs w:val="28"/>
              </w:rPr>
              <w:t xml:space="preserve"> ministrijas un Valsts policijas starpā, kā arī starpinstitūciju saskaņošanas sanāksmē.</w:t>
            </w:r>
          </w:p>
          <w:p w:rsidR="004C00B1" w:rsidRDefault="004C00B1">
            <w:pPr>
              <w:jc w:val="left"/>
            </w:pPr>
          </w:p>
        </w:tc>
      </w:tr>
    </w:tbl>
    <w:p w:rsidR="004C00B1" w:rsidRDefault="004C00B1"/>
    <w:tbl>
      <w:tblPr>
        <w:tblStyle w:val="a"/>
        <w:tblW w:w="14567" w:type="dxa"/>
        <w:tblLayout w:type="fixed"/>
        <w:tblLook w:val="0600" w:firstRow="0" w:lastRow="0" w:firstColumn="0" w:lastColumn="0" w:noHBand="1" w:noVBand="1"/>
      </w:tblPr>
      <w:tblGrid>
        <w:gridCol w:w="4855"/>
        <w:gridCol w:w="4856"/>
        <w:gridCol w:w="4856"/>
      </w:tblGrid>
      <w:tr w:rsidR="004C00B1">
        <w:tc>
          <w:tcPr>
            <w:tcW w:w="4855" w:type="dxa"/>
            <w:shd w:val="clear" w:color="auto" w:fill="FFFFFF"/>
            <w:noWrap/>
            <w:tcMar>
              <w:top w:w="75" w:type="dxa"/>
              <w:left w:w="75" w:type="dxa"/>
              <w:bottom w:w="75" w:type="dxa"/>
              <w:right w:w="75" w:type="dxa"/>
            </w:tcMar>
            <w:vAlign w:val="center"/>
          </w:tcPr>
          <w:p w:rsidR="004C00B1" w:rsidRDefault="009525F8">
            <w:pPr>
              <w:jc w:val="left"/>
            </w:pPr>
            <w:r>
              <w:t>Datums**</w:t>
            </w:r>
          </w:p>
        </w:tc>
        <w:tc>
          <w:tcPr>
            <w:tcW w:w="4856" w:type="dxa"/>
            <w:shd w:val="clear" w:color="auto" w:fill="FFFFFF"/>
            <w:noWrap/>
            <w:tcMar>
              <w:top w:w="75" w:type="dxa"/>
              <w:left w:w="75" w:type="dxa"/>
              <w:bottom w:w="75" w:type="dxa"/>
              <w:right w:w="75" w:type="dxa"/>
            </w:tcMar>
            <w:vAlign w:val="center"/>
          </w:tcPr>
          <w:p w:rsidR="004C00B1" w:rsidRDefault="004C00B1">
            <w:pPr>
              <w:pBdr>
                <w:bottom w:val="single" w:sz="10" w:space="1" w:color="000000"/>
              </w:pBdr>
            </w:pPr>
          </w:p>
        </w:tc>
        <w:tc>
          <w:tcPr>
            <w:tcW w:w="4856" w:type="dxa"/>
            <w:shd w:val="clear" w:color="auto" w:fill="FFFFFF"/>
            <w:noWrap/>
            <w:tcMar>
              <w:top w:w="75" w:type="dxa"/>
              <w:left w:w="75" w:type="dxa"/>
              <w:bottom w:w="75" w:type="dxa"/>
              <w:right w:w="75" w:type="dxa"/>
            </w:tcMar>
            <w:vAlign w:val="center"/>
          </w:tcPr>
          <w:p w:rsidR="004C00B1" w:rsidRDefault="004C00B1"/>
        </w:tc>
      </w:tr>
      <w:tr w:rsidR="004C00B1">
        <w:tc>
          <w:tcPr>
            <w:tcW w:w="4855" w:type="dxa"/>
            <w:shd w:val="clear" w:color="auto" w:fill="FFFFFF"/>
            <w:noWrap/>
            <w:tcMar>
              <w:top w:w="75" w:type="dxa"/>
              <w:left w:w="75" w:type="dxa"/>
              <w:bottom w:w="75" w:type="dxa"/>
              <w:right w:w="75" w:type="dxa"/>
            </w:tcMar>
            <w:vAlign w:val="center"/>
          </w:tcPr>
          <w:p w:rsidR="004C00B1" w:rsidRDefault="004C00B1"/>
        </w:tc>
        <w:tc>
          <w:tcPr>
            <w:tcW w:w="4856" w:type="dxa"/>
            <w:shd w:val="clear" w:color="auto" w:fill="FFFFFF"/>
            <w:noWrap/>
            <w:tcMar>
              <w:top w:w="75" w:type="dxa"/>
              <w:left w:w="75" w:type="dxa"/>
              <w:bottom w:w="75" w:type="dxa"/>
              <w:right w:w="75" w:type="dxa"/>
            </w:tcMar>
            <w:vAlign w:val="center"/>
          </w:tcPr>
          <w:p w:rsidR="004C00B1" w:rsidRDefault="009525F8">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rsidR="004C00B1" w:rsidRDefault="004C00B1"/>
        </w:tc>
      </w:tr>
      <w:tr w:rsidR="004C00B1">
        <w:tc>
          <w:tcPr>
            <w:tcW w:w="4855" w:type="dxa"/>
            <w:shd w:val="clear" w:color="auto" w:fill="FFFFFF"/>
            <w:noWrap/>
            <w:tcMar>
              <w:top w:w="75" w:type="dxa"/>
              <w:left w:w="75" w:type="dxa"/>
              <w:bottom w:w="75" w:type="dxa"/>
              <w:right w:w="75" w:type="dxa"/>
            </w:tcMar>
            <w:vAlign w:val="center"/>
          </w:tcPr>
          <w:p w:rsidR="004C00B1" w:rsidRDefault="009525F8">
            <w:pPr>
              <w:jc w:val="left"/>
            </w:pPr>
            <w:r>
              <w:t>Atbildīgā persona</w:t>
            </w:r>
          </w:p>
        </w:tc>
        <w:tc>
          <w:tcPr>
            <w:tcW w:w="4856" w:type="dxa"/>
            <w:shd w:val="clear" w:color="auto" w:fill="FFFFFF"/>
            <w:noWrap/>
            <w:tcMar>
              <w:top w:w="75" w:type="dxa"/>
              <w:left w:w="75" w:type="dxa"/>
              <w:bottom w:w="75" w:type="dxa"/>
              <w:right w:w="75" w:type="dxa"/>
            </w:tcMar>
            <w:vAlign w:val="center"/>
          </w:tcPr>
          <w:p w:rsidR="004C00B1" w:rsidRDefault="004C00B1">
            <w:pPr>
              <w:pBdr>
                <w:bottom w:val="single" w:sz="10" w:space="1" w:color="000000"/>
              </w:pBdr>
            </w:pPr>
          </w:p>
        </w:tc>
        <w:tc>
          <w:tcPr>
            <w:tcW w:w="4856" w:type="dxa"/>
            <w:shd w:val="clear" w:color="auto" w:fill="FFFFFF"/>
            <w:noWrap/>
            <w:tcMar>
              <w:top w:w="75" w:type="dxa"/>
              <w:left w:w="75" w:type="dxa"/>
              <w:bottom w:w="75" w:type="dxa"/>
              <w:right w:w="75" w:type="dxa"/>
            </w:tcMar>
            <w:vAlign w:val="center"/>
          </w:tcPr>
          <w:p w:rsidR="004C00B1" w:rsidRDefault="004C00B1"/>
        </w:tc>
      </w:tr>
      <w:tr w:rsidR="004C00B1">
        <w:tc>
          <w:tcPr>
            <w:tcW w:w="4855" w:type="dxa"/>
            <w:shd w:val="clear" w:color="auto" w:fill="FFFFFF"/>
            <w:noWrap/>
            <w:tcMar>
              <w:top w:w="75" w:type="dxa"/>
              <w:left w:w="75" w:type="dxa"/>
              <w:bottom w:w="75" w:type="dxa"/>
              <w:right w:w="75" w:type="dxa"/>
            </w:tcMar>
            <w:vAlign w:val="center"/>
          </w:tcPr>
          <w:p w:rsidR="004C00B1" w:rsidRDefault="004C00B1"/>
        </w:tc>
        <w:tc>
          <w:tcPr>
            <w:tcW w:w="4856" w:type="dxa"/>
            <w:shd w:val="clear" w:color="auto" w:fill="FFFFFF"/>
            <w:noWrap/>
            <w:tcMar>
              <w:top w:w="75" w:type="dxa"/>
              <w:left w:w="75" w:type="dxa"/>
              <w:bottom w:w="75" w:type="dxa"/>
              <w:right w:w="75" w:type="dxa"/>
            </w:tcMar>
            <w:vAlign w:val="center"/>
          </w:tcPr>
          <w:p w:rsidR="004C00B1" w:rsidRDefault="009525F8">
            <w:pPr>
              <w:jc w:val="center"/>
            </w:pPr>
            <w:r>
              <w:t>(vārds, uzvārds, paraksts**)</w:t>
            </w:r>
          </w:p>
        </w:tc>
        <w:tc>
          <w:tcPr>
            <w:tcW w:w="4856" w:type="dxa"/>
            <w:shd w:val="clear" w:color="auto" w:fill="FFFFFF"/>
            <w:noWrap/>
            <w:tcMar>
              <w:top w:w="75" w:type="dxa"/>
              <w:left w:w="75" w:type="dxa"/>
              <w:bottom w:w="75" w:type="dxa"/>
              <w:right w:w="75" w:type="dxa"/>
            </w:tcMar>
            <w:vAlign w:val="center"/>
          </w:tcPr>
          <w:p w:rsidR="004C00B1" w:rsidRDefault="004C00B1"/>
        </w:tc>
      </w:tr>
    </w:tbl>
    <w:p w:rsidR="004C00B1" w:rsidRDefault="004C00B1"/>
    <w:p w:rsidR="004C00B1" w:rsidRDefault="009525F8">
      <w:r>
        <w:t>Piezīmes.</w:t>
      </w:r>
    </w:p>
    <w:p w:rsidR="004C00B1" w:rsidRDefault="009525F8">
      <w:r>
        <w:t>* Iesniedzējs (fiziskai personai – vārds, uzvārds, juridiskai personai – nosaukums) var tikt publiskots, ja viņš tam ir piekritis. Ja attiecināms, iesniedzējs norāda interešu pārstāvja reģistrācijas numuru.</w:t>
      </w:r>
    </w:p>
    <w:p w:rsidR="004C00B1" w:rsidRDefault="009525F8">
      <w:r>
        <w:t>** Dokumenta rekvizītus "datums" un "paraksts" neaizpilda, ja elektroniskais dokuments ir sagatavots atbilstoši normatīvajiem aktiem par elektronisko dokumentu noformēšanu.</w:t>
      </w:r>
    </w:p>
    <w:sectPr w:rsidR="004C00B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136" w:rsidRDefault="00D03136">
      <w:r>
        <w:separator/>
      </w:r>
    </w:p>
  </w:endnote>
  <w:endnote w:type="continuationSeparator" w:id="0">
    <w:p w:rsidR="00D03136" w:rsidRDefault="00D03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0B1" w:rsidRDefault="009525F8">
    <w:pPr>
      <w:jc w:val="right"/>
    </w:pPr>
    <w:r>
      <w:rPr>
        <w:sz w:val="24"/>
        <w:szCs w:val="24"/>
      </w:rPr>
      <w:fldChar w:fldCharType="begin"/>
    </w:r>
    <w:r>
      <w:rPr>
        <w:sz w:val="24"/>
        <w:szCs w:val="24"/>
      </w:rPr>
      <w:instrText>PAGE</w:instrText>
    </w:r>
    <w:r>
      <w:rPr>
        <w:sz w:val="24"/>
        <w:szCs w:val="24"/>
      </w:rPr>
      <w:fldChar w:fldCharType="separate"/>
    </w:r>
    <w:r w:rsidR="002948F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D81" w:rsidRDefault="009525F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136" w:rsidRDefault="00D03136">
      <w:r>
        <w:separator/>
      </w:r>
    </w:p>
  </w:footnote>
  <w:footnote w:type="continuationSeparator" w:id="0">
    <w:p w:rsidR="00D03136" w:rsidRDefault="00D03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0B1" w:rsidRDefault="009525F8">
    <w:pPr>
      <w:pStyle w:val="Header"/>
      <w:contextualSpacing w:val="0"/>
    </w:pPr>
    <w:r>
      <w:t>Viedokļu pārskats 24-TA-3267</w:t>
    </w:r>
    <w:r>
      <w:br/>
      <w:t>Izdrukāts 26.11.2025. 16.37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0B1" w:rsidRDefault="009525F8">
    <w:pPr>
      <w:pStyle w:val="Header"/>
      <w:contextualSpacing w:val="0"/>
    </w:pPr>
    <w:r>
      <w:t>Viedokļu pārskats 24-TA-3267</w:t>
    </w:r>
    <w:r>
      <w:br/>
      <w:t>Izdrukāts 26.11.2025. 16.37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B1"/>
    <w:rsid w:val="002948FA"/>
    <w:rsid w:val="004C00B1"/>
    <w:rsid w:val="00907D81"/>
    <w:rsid w:val="009525F8"/>
    <w:rsid w:val="00A26160"/>
    <w:rsid w:val="00A65014"/>
    <w:rsid w:val="00B76B26"/>
    <w:rsid w:val="00D03136"/>
    <w:rsid w:val="00DA09A1"/>
    <w:rsid w:val="00E604BB"/>
    <w:rsid w:val="00FA3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2D45"/>
  <w15:docId w15:val="{0D33CCE3-0EBA-4E23-9253-7D76FA38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E604BB"/>
    <w:pPr>
      <w:ind w:left="720"/>
      <w:contextualSpacing/>
    </w:pPr>
  </w:style>
  <w:style w:type="paragraph" w:styleId="NormalWeb">
    <w:name w:val="Normal (Web)"/>
    <w:basedOn w:val="Normal"/>
    <w:uiPriority w:val="99"/>
    <w:unhideWhenUsed/>
    <w:rsid w:val="00E604BB"/>
    <w:pPr>
      <w:spacing w:before="100" w:beforeAutospacing="1" w:after="100" w:afterAutospacing="1"/>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675606">
      <w:bodyDiv w:val="1"/>
      <w:marLeft w:val="0"/>
      <w:marRight w:val="0"/>
      <w:marTop w:val="0"/>
      <w:marBottom w:val="0"/>
      <w:divBdr>
        <w:top w:val="none" w:sz="0" w:space="0" w:color="auto"/>
        <w:left w:val="none" w:sz="0" w:space="0" w:color="auto"/>
        <w:bottom w:val="none" w:sz="0" w:space="0" w:color="auto"/>
        <w:right w:val="none" w:sz="0" w:space="0" w:color="auto"/>
      </w:divBdr>
    </w:div>
    <w:div w:id="1410613862">
      <w:bodyDiv w:val="1"/>
      <w:marLeft w:val="0"/>
      <w:marRight w:val="0"/>
      <w:marTop w:val="0"/>
      <w:marBottom w:val="0"/>
      <w:divBdr>
        <w:top w:val="none" w:sz="0" w:space="0" w:color="auto"/>
        <w:left w:val="none" w:sz="0" w:space="0" w:color="auto"/>
        <w:bottom w:val="none" w:sz="0" w:space="0" w:color="auto"/>
        <w:right w:val="none" w:sz="0" w:space="0" w:color="auto"/>
      </w:divBdr>
    </w:div>
    <w:div w:id="1483155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13</Pages>
  <Words>10952</Words>
  <Characters>6243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viedoklu_parskats_24-TA-3267.docx</vt:lpstr>
    </vt:vector>
  </TitlesOfParts>
  <Company>LR IEM</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viedoklu_parskats_24-TA-3267.docx</dc:title>
  <dc:creator>Alvils Strīķeris</dc:creator>
  <cp:lastModifiedBy>Alvils Strīķeris</cp:lastModifiedBy>
  <cp:revision>4</cp:revision>
  <dcterms:created xsi:type="dcterms:W3CDTF">2025-11-26T14:54:00Z</dcterms:created>
  <dcterms:modified xsi:type="dcterms:W3CDTF">2025-12-04T10:13:00Z</dcterms:modified>
</cp:coreProperties>
</file>