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11B2F8" w14:textId="69D5D8D3" w:rsidR="002B73B4" w:rsidRPr="007779ED" w:rsidRDefault="000F3313" w:rsidP="00A95F7A">
      <w:pPr>
        <w:spacing w:after="240"/>
        <w:rPr>
          <w:b/>
          <w:color w:val="auto"/>
        </w:rPr>
      </w:pPr>
      <w:r w:rsidRPr="007779ED">
        <w:rPr>
          <w:b/>
          <w:color w:val="auto"/>
        </w:rPr>
        <w:t xml:space="preserve">Publiskās apspriešanas laikā 03.09.2025. - 17.09.2025. </w:t>
      </w:r>
      <w:bookmarkStart w:id="0" w:name="_Hlk216192341"/>
      <w:r w:rsidRPr="007779ED">
        <w:rPr>
          <w:b/>
          <w:color w:val="auto"/>
        </w:rPr>
        <w:t xml:space="preserve">saņemto viedokļu, priekšlikumu un iebildumu apkopojums par Labklājības nozares un pašvaldību sociālās jomas informācijas sistēmas </w:t>
      </w:r>
      <w:r w:rsidR="00E372BF" w:rsidRPr="007779ED">
        <w:rPr>
          <w:b/>
          <w:color w:val="auto"/>
        </w:rPr>
        <w:t>“</w:t>
      </w:r>
      <w:r w:rsidRPr="007779ED">
        <w:rPr>
          <w:b/>
          <w:color w:val="auto"/>
        </w:rPr>
        <w:t>DigiSoc</w:t>
      </w:r>
      <w:r w:rsidR="00E372BF" w:rsidRPr="007779ED">
        <w:rPr>
          <w:b/>
          <w:color w:val="auto"/>
        </w:rPr>
        <w:t>”</w:t>
      </w:r>
      <w:r w:rsidRPr="007779ED">
        <w:rPr>
          <w:b/>
          <w:color w:val="auto"/>
        </w:rPr>
        <w:t xml:space="preserve"> noteikumi</w:t>
      </w:r>
      <w:r w:rsidR="00A06FB2" w:rsidRPr="007779ED">
        <w:rPr>
          <w:b/>
          <w:color w:val="auto"/>
        </w:rPr>
        <w:t>em</w:t>
      </w:r>
      <w:bookmarkEnd w:id="0"/>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D50278" w:rsidRPr="007779ED" w14:paraId="15FDA261" w14:textId="77777777">
        <w:tc>
          <w:tcPr>
            <w:tcW w:w="750" w:type="dxa"/>
            <w:shd w:val="clear" w:color="auto" w:fill="FFFFFF"/>
            <w:noWrap/>
            <w:tcMar>
              <w:top w:w="75" w:type="dxa"/>
              <w:left w:w="75" w:type="dxa"/>
              <w:bottom w:w="75" w:type="dxa"/>
              <w:right w:w="75" w:type="dxa"/>
            </w:tcMar>
            <w:vAlign w:val="center"/>
          </w:tcPr>
          <w:p w14:paraId="550BA83D" w14:textId="77777777" w:rsidR="002B73B4" w:rsidRPr="007779ED" w:rsidRDefault="000F3313" w:rsidP="00A95F7A">
            <w:pPr>
              <w:rPr>
                <w:color w:val="auto"/>
              </w:rPr>
            </w:pPr>
            <w:proofErr w:type="spellStart"/>
            <w:r w:rsidRPr="007779ED">
              <w:rPr>
                <w:b/>
                <w:color w:val="auto"/>
              </w:rPr>
              <w:t>Nr.p.k</w:t>
            </w:r>
            <w:proofErr w:type="spellEnd"/>
            <w:r w:rsidRPr="007779ED">
              <w:rPr>
                <w:b/>
                <w:color w:val="auto"/>
              </w:rPr>
              <w:t>.</w:t>
            </w:r>
          </w:p>
        </w:tc>
        <w:tc>
          <w:tcPr>
            <w:tcW w:w="4055" w:type="dxa"/>
            <w:shd w:val="clear" w:color="auto" w:fill="FFFFFF"/>
            <w:noWrap/>
            <w:tcMar>
              <w:top w:w="75" w:type="dxa"/>
              <w:left w:w="75" w:type="dxa"/>
              <w:bottom w:w="75" w:type="dxa"/>
              <w:right w:w="75" w:type="dxa"/>
            </w:tcMar>
            <w:vAlign w:val="center"/>
          </w:tcPr>
          <w:p w14:paraId="3B420553" w14:textId="77777777" w:rsidR="002B73B4" w:rsidRPr="007779ED" w:rsidRDefault="000F3313" w:rsidP="00A95F7A">
            <w:pPr>
              <w:rPr>
                <w:color w:val="auto"/>
              </w:rPr>
            </w:pPr>
            <w:r w:rsidRPr="007779ED">
              <w:rPr>
                <w:b/>
                <w:color w:val="auto"/>
              </w:rPr>
              <w:t>Viedokļa / priekšlikuma / iebilduma iesniedzējs*</w:t>
            </w:r>
          </w:p>
        </w:tc>
        <w:tc>
          <w:tcPr>
            <w:tcW w:w="4056" w:type="dxa"/>
            <w:shd w:val="clear" w:color="auto" w:fill="FFFFFF"/>
            <w:noWrap/>
            <w:tcMar>
              <w:top w:w="75" w:type="dxa"/>
              <w:left w:w="75" w:type="dxa"/>
              <w:bottom w:w="75" w:type="dxa"/>
              <w:right w:w="75" w:type="dxa"/>
            </w:tcMar>
            <w:vAlign w:val="center"/>
          </w:tcPr>
          <w:p w14:paraId="6ED320D5" w14:textId="77777777" w:rsidR="002B73B4" w:rsidRPr="007779ED" w:rsidRDefault="000F3313" w:rsidP="00A95F7A">
            <w:pPr>
              <w:rPr>
                <w:color w:val="auto"/>
              </w:rPr>
            </w:pPr>
            <w:r w:rsidRPr="007779ED">
              <w:rPr>
                <w:b/>
                <w:color w:val="auto"/>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349F89DC" w14:textId="77777777" w:rsidR="002B73B4" w:rsidRPr="007779ED" w:rsidRDefault="000F3313" w:rsidP="00A95F7A">
            <w:pPr>
              <w:rPr>
                <w:color w:val="auto"/>
              </w:rPr>
            </w:pPr>
            <w:r w:rsidRPr="007779ED">
              <w:rPr>
                <w:b/>
                <w:color w:val="auto"/>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677887C6" w14:textId="77777777" w:rsidR="002B73B4" w:rsidRPr="007779ED" w:rsidRDefault="000F3313" w:rsidP="00A95F7A">
            <w:pPr>
              <w:rPr>
                <w:color w:val="auto"/>
              </w:rPr>
            </w:pPr>
            <w:r w:rsidRPr="007779ED">
              <w:rPr>
                <w:b/>
                <w:color w:val="auto"/>
              </w:rPr>
              <w:t>Skaidrojums, kādā veidā viedoklis / priekšlikums / iebildums ir ņemts vērā vai ņemts vērā daļēji, vai pamatojums, ja viedoklis / priekšlikums / iebildums nav ņemts vērā</w:t>
            </w:r>
          </w:p>
        </w:tc>
      </w:tr>
      <w:tr w:rsidR="00D50278" w:rsidRPr="007779ED" w14:paraId="05A15F87" w14:textId="77777777">
        <w:tc>
          <w:tcPr>
            <w:tcW w:w="750" w:type="dxa"/>
            <w:shd w:val="clear" w:color="auto" w:fill="FFFFFF"/>
            <w:noWrap/>
            <w:tcMar>
              <w:top w:w="75" w:type="dxa"/>
              <w:left w:w="75" w:type="dxa"/>
              <w:bottom w:w="75" w:type="dxa"/>
              <w:right w:w="75" w:type="dxa"/>
            </w:tcMar>
            <w:vAlign w:val="center"/>
          </w:tcPr>
          <w:p w14:paraId="3E4B28D9" w14:textId="77777777" w:rsidR="002B73B4" w:rsidRPr="007779ED" w:rsidRDefault="000F3313" w:rsidP="00A95F7A">
            <w:pPr>
              <w:rPr>
                <w:color w:val="auto"/>
              </w:rPr>
            </w:pPr>
            <w:r w:rsidRPr="007779ED">
              <w:rPr>
                <w:color w:val="auto"/>
              </w:rPr>
              <w:t>1.</w:t>
            </w:r>
          </w:p>
        </w:tc>
        <w:tc>
          <w:tcPr>
            <w:tcW w:w="4055" w:type="dxa"/>
            <w:shd w:val="clear" w:color="auto" w:fill="FFFFFF"/>
            <w:noWrap/>
            <w:tcMar>
              <w:top w:w="75" w:type="dxa"/>
              <w:left w:w="75" w:type="dxa"/>
              <w:bottom w:w="75" w:type="dxa"/>
              <w:right w:w="75" w:type="dxa"/>
            </w:tcMar>
            <w:vAlign w:val="center"/>
          </w:tcPr>
          <w:p w14:paraId="646ADCDB" w14:textId="77777777" w:rsidR="002B73B4" w:rsidRPr="007779ED" w:rsidRDefault="000F3313" w:rsidP="00A95F7A">
            <w:pPr>
              <w:rPr>
                <w:color w:val="auto"/>
              </w:rPr>
            </w:pPr>
            <w:proofErr w:type="spellStart"/>
            <w:r w:rsidRPr="007779ED">
              <w:rPr>
                <w:color w:val="auto"/>
              </w:rPr>
              <w:t>r.a</w:t>
            </w:r>
            <w:proofErr w:type="spellEnd"/>
            <w:r w:rsidRPr="007779ED">
              <w:rPr>
                <w:color w:val="auto"/>
              </w:rPr>
              <w:t>. "Siltumnīca"</w:t>
            </w:r>
          </w:p>
        </w:tc>
        <w:tc>
          <w:tcPr>
            <w:tcW w:w="4056" w:type="dxa"/>
            <w:shd w:val="clear" w:color="auto" w:fill="FFFFFF"/>
            <w:noWrap/>
            <w:tcMar>
              <w:top w:w="75" w:type="dxa"/>
              <w:left w:w="75" w:type="dxa"/>
              <w:bottom w:w="75" w:type="dxa"/>
              <w:right w:w="75" w:type="dxa"/>
            </w:tcMar>
            <w:vAlign w:val="center"/>
          </w:tcPr>
          <w:p w14:paraId="72A79718" w14:textId="77777777" w:rsidR="002B73B4" w:rsidRPr="007779ED" w:rsidRDefault="000F3313" w:rsidP="00A95F7A">
            <w:pPr>
              <w:rPr>
                <w:color w:val="auto"/>
              </w:rPr>
            </w:pPr>
            <w:r w:rsidRPr="007779ED">
              <w:rPr>
                <w:color w:val="auto"/>
              </w:rPr>
              <w:t>Par projektu 25-TA-2022 “Labklājības nozares un pašvaldību sociālās jomas informācijas sistēmas "DigiSoc" noteikumi” tiek izteikti šādi priekšlikumi</w:t>
            </w:r>
            <w:r w:rsidRPr="007779ED">
              <w:rPr>
                <w:color w:val="auto"/>
              </w:rPr>
              <w:br/>
              <w:t xml:space="preserve">1. Noteikumu projekta preambulā ir norādīts izdošanas tiesiskais pamats – Valsts informācijas sistēmu likuma 5. panta 1.2. daļa. Šāda atsauce formāli norāda deleģējumu Ministru kabinetam izdot noteikumus par informācijas sistēmu. Papildus, ja Sociālo pakalpojumu un sociālās palīdzības likums (turpmāk – SPSPL) satur ai saturēs konkrētu </w:t>
            </w:r>
            <w:r w:rsidRPr="007779ED">
              <w:rPr>
                <w:color w:val="auto"/>
              </w:rPr>
              <w:lastRenderedPageBreak/>
              <w:t>deleģējumu MK noteikumu izdošanai, ieteicams arī uz to atsaukties preambulā, lai būtu pilnīgs tiesiskais pamats.</w:t>
            </w:r>
            <w:r w:rsidRPr="007779ED">
              <w:rPr>
                <w:color w:val="auto"/>
              </w:rPr>
              <w:br/>
              <w:t>2. 5. punkta uzskaitījumā divreiz atkārtojas apakšpunkts 5.7. “sniegtajām konsultācijām”. Šī acīmredzot ir tehniska kļūda – viens no “5.7.” apakšpunktiem būtu jāsvītro.</w:t>
            </w:r>
            <w:r w:rsidRPr="007779ED">
              <w:rPr>
                <w:color w:val="auto"/>
              </w:rPr>
              <w:br/>
              <w:t>3. 6. punktā apakšpunktu līmeņi ir ļoti dziļi (piemēram, 6.2.2.5.3.6.), kas apgrūtina teksta pārskatāmību. Ieteicams apsvērt, vai daļu no šīm ļoti detalizētajām listēm nevarētu pārstrukturēt, piemēram, sadalot atsevišķos punktos vai pielikumos, lai samazinātu hierarhijas dziļumu un atvieglotu normu lasāmību.</w:t>
            </w:r>
            <w:r w:rsidRPr="007779ED">
              <w:rPr>
                <w:color w:val="auto"/>
              </w:rPr>
              <w:br/>
              <w:t xml:space="preserve">4. 33. punkta 1. un 2. apakšpunkts satur daļēji dublējošus formulējumus par datu apmaiņu “atbilstoši savstarpēji noslēgtajiem līgumiem”. Var apsvērt šo punktu apvienošanu vai precīzāku nodalīšanu, skaidrojot, kādos gadījumos piemēro katru no minētajiem informācijas apmaiņas </w:t>
            </w:r>
            <w:r w:rsidRPr="007779ED">
              <w:rPr>
                <w:color w:val="auto"/>
              </w:rPr>
              <w:lastRenderedPageBreak/>
              <w:t>veidiem. Būtu ieteicams veidu “elektroniski tiešsaistes režīmā” noteikt kā prioritāru.</w:t>
            </w:r>
            <w:r w:rsidRPr="007779ED">
              <w:rPr>
                <w:color w:val="auto"/>
              </w:rPr>
              <w:br/>
              <w:t>5. Pieminot Labklājības informācijas sistēmu (</w:t>
            </w:r>
            <w:proofErr w:type="spellStart"/>
            <w:r w:rsidRPr="007779ED">
              <w:rPr>
                <w:color w:val="auto"/>
              </w:rPr>
              <w:t>LabIS</w:t>
            </w:r>
            <w:proofErr w:type="spellEnd"/>
            <w:r w:rsidRPr="007779ED">
              <w:rPr>
                <w:color w:val="auto"/>
              </w:rPr>
              <w:t>) 36.6. apakšpunktā, formāli tas ir pirmais un vienīgais šīs saīsinājuma lietojums tekstā. Tā kā “Labklājības informācijas sistēma” nav iepriekš minēta, drošības pēc varētu iekļaut definīciju Vispārīgajos jautājumos vai 36.6. apakšpunktā paskaidrot, ka te domāta Labklājības ministrijas iekšējā informācijas sistēma (ja tā ir oficiāls sistēmas nosaukums).</w:t>
            </w:r>
            <w:r w:rsidRPr="007779ED">
              <w:rPr>
                <w:color w:val="auto"/>
              </w:rPr>
              <w:br/>
            </w:r>
          </w:p>
        </w:tc>
        <w:tc>
          <w:tcPr>
            <w:tcW w:w="1650" w:type="dxa"/>
            <w:shd w:val="clear" w:color="auto" w:fill="FFFFFF"/>
            <w:noWrap/>
            <w:tcMar>
              <w:top w:w="75" w:type="dxa"/>
              <w:left w:w="75" w:type="dxa"/>
              <w:bottom w:w="75" w:type="dxa"/>
              <w:right w:w="75" w:type="dxa"/>
            </w:tcMar>
            <w:vAlign w:val="center"/>
          </w:tcPr>
          <w:p w14:paraId="225C763F" w14:textId="0B2EDE52" w:rsidR="002B73B4" w:rsidRPr="007779ED" w:rsidRDefault="00FB2F32" w:rsidP="00A95F7A">
            <w:pPr>
              <w:rPr>
                <w:color w:val="auto"/>
              </w:rPr>
            </w:pPr>
            <w:r w:rsidRPr="007779ED">
              <w:rPr>
                <w:color w:val="auto"/>
              </w:rPr>
              <w:lastRenderedPageBreak/>
              <w:t>Daļēji ņemts vērā</w:t>
            </w:r>
          </w:p>
        </w:tc>
        <w:tc>
          <w:tcPr>
            <w:tcW w:w="4056" w:type="dxa"/>
            <w:shd w:val="clear" w:color="auto" w:fill="FFFFFF"/>
            <w:noWrap/>
            <w:tcMar>
              <w:top w:w="75" w:type="dxa"/>
              <w:left w:w="75" w:type="dxa"/>
              <w:bottom w:w="75" w:type="dxa"/>
              <w:right w:w="75" w:type="dxa"/>
            </w:tcMar>
            <w:vAlign w:val="center"/>
          </w:tcPr>
          <w:p w14:paraId="46AEFB84" w14:textId="56654086" w:rsidR="003B73F7" w:rsidRPr="007779ED" w:rsidRDefault="003B73F7" w:rsidP="00A95F7A">
            <w:pPr>
              <w:shd w:val="clear" w:color="auto" w:fill="FFFFFF"/>
              <w:textAlignment w:val="baseline"/>
              <w:rPr>
                <w:rFonts w:ascii="Segoe UI" w:hAnsi="Segoe UI" w:cs="Segoe UI"/>
                <w:color w:val="auto"/>
                <w:sz w:val="18"/>
                <w:szCs w:val="18"/>
              </w:rPr>
            </w:pPr>
            <w:r w:rsidRPr="007779ED">
              <w:rPr>
                <w:color w:val="auto"/>
                <w:szCs w:val="28"/>
              </w:rPr>
              <w:t>Biedrības "</w:t>
            </w:r>
            <w:proofErr w:type="spellStart"/>
            <w:r w:rsidRPr="007779ED">
              <w:rPr>
                <w:color w:val="auto"/>
                <w:szCs w:val="28"/>
              </w:rPr>
              <w:t>r.a</w:t>
            </w:r>
            <w:proofErr w:type="spellEnd"/>
            <w:r w:rsidRPr="007779ED">
              <w:rPr>
                <w:color w:val="auto"/>
                <w:szCs w:val="28"/>
              </w:rPr>
              <w:t>. "Siltumnīca"" priekšlikums papildināt Noteikumu projekta izdošanas pamatu ar SPSPL attiecīgo normu nav ņemts vērā, jo deleģējums MK izdot MK noteikumus, nosakot: valsts informācijas sistēmas pārzini, iekļaujamās informācijas apjomu; kārtību, kādā informāciju apstrādā valsts informācijas sistēmā; nosacījumus piekļuves nodrošināšanai valsts informācijas sistēmā iekļautajai informācijai, jau ir ietverts Valsts informācijas sistēmu likuma 5. panta 1.</w:t>
            </w:r>
            <w:r w:rsidRPr="007779ED">
              <w:rPr>
                <w:color w:val="auto"/>
                <w:sz w:val="22"/>
                <w:szCs w:val="22"/>
                <w:vertAlign w:val="superscript"/>
              </w:rPr>
              <w:t>2</w:t>
            </w:r>
            <w:r w:rsidRPr="007779ED">
              <w:rPr>
                <w:color w:val="auto"/>
                <w:szCs w:val="28"/>
              </w:rPr>
              <w:t xml:space="preserve"> daļā. Tādēļ papildus deleģējums SPSPL nav </w:t>
            </w:r>
            <w:r w:rsidRPr="007779ED">
              <w:rPr>
                <w:color w:val="auto"/>
                <w:szCs w:val="28"/>
              </w:rPr>
              <w:lastRenderedPageBreak/>
              <w:t>nepieciešams. Vienlaikus ņemts vērā priekšlikums precizēt Noteikumu projekta 4.6. apakšpunktu, veicot tehnisko precizējumu. Priekšlikums neveidot apakšpunktus ļoti mazos </w:t>
            </w:r>
            <w:proofErr w:type="spellStart"/>
            <w:r w:rsidRPr="007779ED">
              <w:rPr>
                <w:color w:val="auto"/>
                <w:szCs w:val="28"/>
              </w:rPr>
              <w:t>apakšlīmeņos</w:t>
            </w:r>
            <w:proofErr w:type="spellEnd"/>
            <w:r w:rsidRPr="007779ED">
              <w:rPr>
                <w:color w:val="auto"/>
                <w:szCs w:val="28"/>
              </w:rPr>
              <w:t> nav ņemts vērā, jo atbilstoši Eiropas Parlamenta un Padomes Regulas (ES) 2016/679 (2016. gada 27. aprīlis) par fizisku personu aizsardzību attiecībā uz personas datu apstrādi un šādu datu brīvu apriti un ar ko atceļ Direktīvu 95/46/EK (Vispārīgā datu aizsardzības regula) (turpmāk - Datu regula) 6. panta 3. punktam tiesību normā, kas paredz personas datu apstrādi, ir jāuzskaita konkrēts personas datu apjoms, kāds apstrādājams attiecīgā nolūka sasniegšanai. Tādēļ nav pieļaujams datu apjomu veidot vispārīgi, bet gan šim uzskaitījumam jābūt detalizētam.</w:t>
            </w:r>
          </w:p>
          <w:p w14:paraId="41F3DD28" w14:textId="77777777" w:rsidR="003B73F7" w:rsidRPr="007779ED" w:rsidRDefault="003B73F7" w:rsidP="00A95F7A">
            <w:pPr>
              <w:shd w:val="clear" w:color="auto" w:fill="FFFFFF"/>
              <w:textAlignment w:val="baseline"/>
              <w:rPr>
                <w:rFonts w:ascii="Segoe UI" w:hAnsi="Segoe UI" w:cs="Segoe UI"/>
                <w:color w:val="auto"/>
                <w:sz w:val="18"/>
                <w:szCs w:val="18"/>
              </w:rPr>
            </w:pPr>
            <w:r w:rsidRPr="007779ED">
              <w:rPr>
                <w:color w:val="auto"/>
                <w:szCs w:val="28"/>
              </w:rPr>
              <w:t xml:space="preserve">Nav ņemts vērā biedrības priekšlikums attiecībā uz Noteikumu projekta 35.6. </w:t>
            </w:r>
            <w:r w:rsidRPr="007779ED">
              <w:rPr>
                <w:color w:val="auto"/>
                <w:szCs w:val="28"/>
              </w:rPr>
              <w:lastRenderedPageBreak/>
              <w:t>apakšpunktā minētā saīsinājuma (</w:t>
            </w:r>
            <w:proofErr w:type="spellStart"/>
            <w:r w:rsidRPr="007779ED">
              <w:rPr>
                <w:color w:val="auto"/>
                <w:szCs w:val="28"/>
              </w:rPr>
              <w:t>LabIS</w:t>
            </w:r>
            <w:proofErr w:type="spellEnd"/>
            <w:r w:rsidRPr="007779ED">
              <w:rPr>
                <w:color w:val="auto"/>
                <w:szCs w:val="28"/>
              </w:rPr>
              <w:t>) izmantošanu. </w:t>
            </w:r>
            <w:proofErr w:type="spellStart"/>
            <w:r w:rsidRPr="007779ED">
              <w:rPr>
                <w:color w:val="auto"/>
                <w:szCs w:val="28"/>
              </w:rPr>
              <w:t>LabIS</w:t>
            </w:r>
            <w:proofErr w:type="spellEnd"/>
            <w:r w:rsidRPr="007779ED">
              <w:rPr>
                <w:color w:val="auto"/>
                <w:szCs w:val="28"/>
              </w:rPr>
              <w:t> ir labklājības informācijas sistēma un tas lietojams kopā ar saīsinājumu, skatīt, piemēram, MK 2014. gada 30. septembra noteikumu Nr.587 "Valsts sociālās politikas monitoringa informācijas sistēmas noteikumi" 18.6. apakšpunktu. Atbilstoši MK 2009. gada 3. februāra noteikumu Nr. 108 "Normatīvo aktu projektu sagatavošanas noteikumi" 2.3. apakšpunktam jāizmanto vienveidīgas un standartizētas vārdiskās izteiksmes. </w:t>
            </w:r>
          </w:p>
          <w:p w14:paraId="5031128C" w14:textId="77777777" w:rsidR="002B73B4" w:rsidRPr="007779ED" w:rsidRDefault="002B73B4" w:rsidP="00A95F7A">
            <w:pPr>
              <w:rPr>
                <w:color w:val="auto"/>
              </w:rPr>
            </w:pPr>
          </w:p>
        </w:tc>
      </w:tr>
      <w:tr w:rsidR="00D50278" w:rsidRPr="007779ED" w14:paraId="7669F96C" w14:textId="77777777">
        <w:tc>
          <w:tcPr>
            <w:tcW w:w="750" w:type="dxa"/>
            <w:shd w:val="clear" w:color="auto" w:fill="FFFFFF"/>
            <w:noWrap/>
            <w:tcMar>
              <w:top w:w="75" w:type="dxa"/>
              <w:left w:w="75" w:type="dxa"/>
              <w:bottom w:w="75" w:type="dxa"/>
              <w:right w:w="75" w:type="dxa"/>
            </w:tcMar>
            <w:vAlign w:val="center"/>
          </w:tcPr>
          <w:p w14:paraId="1ADA6947" w14:textId="77777777" w:rsidR="002B73B4" w:rsidRPr="007779ED" w:rsidRDefault="000F3313" w:rsidP="00A95F7A">
            <w:pPr>
              <w:rPr>
                <w:color w:val="auto"/>
              </w:rPr>
            </w:pPr>
            <w:r w:rsidRPr="007779ED">
              <w:rPr>
                <w:color w:val="auto"/>
              </w:rPr>
              <w:lastRenderedPageBreak/>
              <w:t>2.</w:t>
            </w:r>
          </w:p>
        </w:tc>
        <w:tc>
          <w:tcPr>
            <w:tcW w:w="4055" w:type="dxa"/>
            <w:shd w:val="clear" w:color="auto" w:fill="FFFFFF"/>
            <w:noWrap/>
            <w:tcMar>
              <w:top w:w="75" w:type="dxa"/>
              <w:left w:w="75" w:type="dxa"/>
              <w:bottom w:w="75" w:type="dxa"/>
              <w:right w:w="75" w:type="dxa"/>
            </w:tcMar>
            <w:vAlign w:val="center"/>
          </w:tcPr>
          <w:p w14:paraId="48059B37" w14:textId="77777777" w:rsidR="002B73B4" w:rsidRPr="007779ED" w:rsidRDefault="000F3313" w:rsidP="00A95F7A">
            <w:pPr>
              <w:rPr>
                <w:color w:val="auto"/>
              </w:rPr>
            </w:pPr>
            <w:r w:rsidRPr="007779ED">
              <w:rPr>
                <w:color w:val="auto"/>
              </w:rPr>
              <w:t>Biedrība "Latvijas Samariešu apvienība", Agnese Frīdenberga</w:t>
            </w:r>
          </w:p>
        </w:tc>
        <w:tc>
          <w:tcPr>
            <w:tcW w:w="4056" w:type="dxa"/>
            <w:shd w:val="clear" w:color="auto" w:fill="FFFFFF"/>
            <w:noWrap/>
            <w:tcMar>
              <w:top w:w="75" w:type="dxa"/>
              <w:left w:w="75" w:type="dxa"/>
              <w:bottom w:w="75" w:type="dxa"/>
              <w:right w:w="75" w:type="dxa"/>
            </w:tcMar>
            <w:vAlign w:val="center"/>
          </w:tcPr>
          <w:p w14:paraId="1A205F54" w14:textId="77777777" w:rsidR="002B73B4" w:rsidRPr="007779ED" w:rsidRDefault="000F3313" w:rsidP="0074199F">
            <w:pPr>
              <w:jc w:val="left"/>
              <w:rPr>
                <w:color w:val="auto"/>
              </w:rPr>
            </w:pPr>
            <w:r w:rsidRPr="007779ED">
              <w:rPr>
                <w:b/>
                <w:color w:val="auto"/>
              </w:rPr>
              <w:t>Biedrība “Latvijas Samariešu apvienība”</w:t>
            </w:r>
            <w:r w:rsidRPr="007779ED">
              <w:rPr>
                <w:color w:val="auto"/>
              </w:rPr>
              <w:t xml:space="preserve"> atzinīgi vērtē platformas “DigiSoc” izveides iniciatīvu, kas paredz vienotu datu apriti un elektronisku palīdzības saņēmēju lietu uzturēšanu. Vienlaikus uzskatām par būtisku precizēt vairākus jautājumus, lai jaunā sistēma būtu praktiski </w:t>
            </w:r>
            <w:r w:rsidRPr="007779ED">
              <w:rPr>
                <w:color w:val="auto"/>
              </w:rPr>
              <w:lastRenderedPageBreak/>
              <w:t>lietojama un atvieglotu, nevis sarežģītu sociālo pakalpojumu sniedzēju darbu.</w:t>
            </w:r>
            <w:r w:rsidRPr="007779ED">
              <w:rPr>
                <w:color w:val="auto"/>
              </w:rPr>
              <w:br/>
            </w:r>
            <w:r w:rsidRPr="007779ED">
              <w:rPr>
                <w:color w:val="auto"/>
              </w:rPr>
              <w:br/>
            </w:r>
            <w:r w:rsidRPr="007779ED">
              <w:rPr>
                <w:b/>
                <w:color w:val="auto"/>
              </w:rPr>
              <w:t>Par informācijas sistēmu integrāciju ar platformu “DigiSoc”</w:t>
            </w:r>
            <w:r w:rsidRPr="007779ED">
              <w:rPr>
                <w:color w:val="auto"/>
              </w:rPr>
              <w:br/>
              <w:t xml:space="preserve">Mēs – tāpat kā citi sociālo pakalpojumu sniedzēji – jau gadiem izmantojam informācijas sistēmu, kurā  tiek apstrādāti sociālo pakalpojumu dati (mūsu gadījumā, mēs izmantojam </w:t>
            </w:r>
            <w:proofErr w:type="spellStart"/>
            <w:r w:rsidRPr="007779ED">
              <w:rPr>
                <w:color w:val="auto"/>
              </w:rPr>
              <w:t>APSis</w:t>
            </w:r>
            <w:proofErr w:type="spellEnd"/>
            <w:r w:rsidRPr="007779ED">
              <w:rPr>
                <w:color w:val="auto"/>
              </w:rPr>
              <w:t xml:space="preserve">.  Informāciju sistēmas, kuras izmanto sociālo pakalpojumu sniedzēji ir funkcionālas, pilnībā pielāgota sociālās aprūpes procesiem un tajās jau šobrīd tiek uzkrāta informācija un dati par sociālajiem pakalpojumiem. Mūsuprāt, kā obligāts pienākums noteikumos būtu jāparedz nevis tieša “DigiSoc” lietošana, bet gan tas, ka sociālo pakalpojumu sniedzējam ir jānodrošina līgumā (37. punkts) atrunātu datu apmaiņa ar “DigiSoc”, nododot </w:t>
            </w:r>
            <w:r w:rsidRPr="007779ED">
              <w:rPr>
                <w:color w:val="auto"/>
              </w:rPr>
              <w:lastRenderedPageBreak/>
              <w:t>šos datus “DigiSoc” lietojot sistēmu savienojumu.</w:t>
            </w:r>
            <w:r w:rsidRPr="007779ED">
              <w:rPr>
                <w:color w:val="auto"/>
              </w:rPr>
              <w:br/>
              <w:t>Lai gan noteikumu Anotācijā ir teikts, ka “būs iespējama sociālo pakalpojumu nodrošinātāju vai sociālo pakalpojumu sniedzēju informācijas sistēmu integrācija ar platformu "DigiSoc", taču ir nepieciešams skaidrs apstiprinājums, ka sociālo pakalpojumu sniedzēji, kuri jau izmanto citas informācijas sistēmas, varēs turpināt tās lietot, nodrošinot datu apmaiņu ar “DigiSoc”.</w:t>
            </w:r>
            <w:r w:rsidRPr="007779ED">
              <w:rPr>
                <w:color w:val="auto"/>
              </w:rPr>
              <w:br/>
            </w:r>
            <w:r w:rsidRPr="007779ED">
              <w:rPr>
                <w:b/>
                <w:color w:val="auto"/>
              </w:rPr>
              <w:t>Mūsu ierosinājums</w:t>
            </w:r>
            <w:r w:rsidRPr="007779ED">
              <w:rPr>
                <w:color w:val="auto"/>
              </w:rPr>
              <w:t>: noteikumu projektā tieši un skaidri nostiprināt, ka sociālo pakalpojumu sniedzēji nav ierobežoti lietot savas sistēmas.</w:t>
            </w:r>
            <w:r w:rsidRPr="007779ED">
              <w:rPr>
                <w:color w:val="auto"/>
              </w:rPr>
              <w:br/>
            </w:r>
            <w:r w:rsidRPr="007779ED">
              <w:rPr>
                <w:color w:val="auto"/>
              </w:rPr>
              <w:br/>
            </w:r>
            <w:r w:rsidRPr="007779ED">
              <w:rPr>
                <w:color w:val="auto"/>
              </w:rPr>
              <w:br/>
            </w:r>
            <w:r w:rsidRPr="007779ED">
              <w:rPr>
                <w:b/>
                <w:color w:val="auto"/>
              </w:rPr>
              <w:t>Par SOPA</w:t>
            </w:r>
            <w:r w:rsidRPr="007779ED">
              <w:rPr>
                <w:color w:val="auto"/>
              </w:rPr>
              <w:br/>
            </w:r>
            <w:r w:rsidRPr="007779ED">
              <w:rPr>
                <w:color w:val="auto"/>
              </w:rPr>
              <w:br/>
              <w:t xml:space="preserve">Noteikumu anotācijā minēts, ka “Platformas "DigiSoc" izstrāde un ieviešana paredz pakāpenisku pašvaldību sociālās palīdzības </w:t>
            </w:r>
            <w:r w:rsidRPr="007779ED">
              <w:rPr>
                <w:color w:val="auto"/>
              </w:rPr>
              <w:lastRenderedPageBreak/>
              <w:t>lietojumprogrammas (turpmāk – SOPA) aizstāšanu. (…) Ieviešot platformu "DigiSoc", pašvaldībām vairs nebūs iespējas un nepieciešamības izmantot SOPA, jo platforma "DigiSoc" pārņems SOPA funkcionalitāti, kā arī nebūs vajadzības un izvēles izmantot citas programmas, jo platformas "DigiSoc" galvenais mērķis ir apvienot visu sociālās palīdzības un sociālo pakalpojumu, un cita veida sociālo atbalstu vienkopus vienā sistēmā”.</w:t>
            </w:r>
            <w:r w:rsidRPr="007779ED">
              <w:rPr>
                <w:color w:val="auto"/>
              </w:rPr>
              <w:br/>
              <w:t>Nedz noteikumos, nedz anotācijā nav plašāk aprakstīti procesi kā SOPAS funkcionalitāti plāno īstenot caur DigiSoc, jo, piemēram, šobrīd SOPAS integrācija ar pakalpojuma sniedzēja sistēmu paredz datu apmaiņu abos virzienos, taču DigiSoc integrācijas risinājums neparedz pakalpojumu sniedzējam pieeju un tiesības klientu lietai.</w:t>
            </w:r>
            <w:r w:rsidRPr="007779ED">
              <w:rPr>
                <w:color w:val="auto"/>
              </w:rPr>
              <w:br/>
            </w:r>
            <w:r w:rsidRPr="007779ED">
              <w:rPr>
                <w:b/>
                <w:color w:val="auto"/>
              </w:rPr>
              <w:t>Mūsu ierosinājums</w:t>
            </w:r>
            <w:r w:rsidRPr="007779ED">
              <w:rPr>
                <w:color w:val="auto"/>
              </w:rPr>
              <w:t xml:space="preserve">: anotācijā skaidrot kad (kurā gadā?) un kā tieši DigiSoc pārņems SOPA </w:t>
            </w:r>
            <w:r w:rsidRPr="007779ED">
              <w:rPr>
                <w:color w:val="auto"/>
              </w:rPr>
              <w:lastRenderedPageBreak/>
              <w:t>funkcionalitāti, kā arī skaidrot  kas tiek sagaidītas no pakalpojumu sniedzēja, tai skaitā sistēmu pielāgošanā.</w:t>
            </w:r>
            <w:r w:rsidRPr="007779ED">
              <w:rPr>
                <w:color w:val="auto"/>
              </w:rPr>
              <w:br/>
            </w:r>
            <w:r w:rsidRPr="007779ED">
              <w:rPr>
                <w:color w:val="auto"/>
              </w:rPr>
              <w:br/>
            </w:r>
            <w:r w:rsidRPr="007779ED">
              <w:rPr>
                <w:color w:val="auto"/>
              </w:rPr>
              <w:br/>
            </w:r>
            <w:r w:rsidRPr="007779ED">
              <w:rPr>
                <w:b/>
                <w:color w:val="auto"/>
              </w:rPr>
              <w:t>Par datu pieejamību</w:t>
            </w:r>
            <w:r w:rsidRPr="007779ED">
              <w:rPr>
                <w:color w:val="auto"/>
              </w:rPr>
              <w:br/>
            </w:r>
            <w:r w:rsidRPr="007779ED">
              <w:rPr>
                <w:color w:val="auto"/>
              </w:rPr>
              <w:br/>
              <w:t>Noteikumu projekta anotācijā noteikts, ka “Palīdzības saņēmēju elektroniskās lietas nodrošinās iespēju dažādām pakalpojumu organizēšanā, sniegšanā un kontrolē iekļautajām pusēm piekļūt nepieciešamajai informācijai atbilstoši to veicamajiem uzdevumiem”.</w:t>
            </w:r>
            <w:r w:rsidRPr="007779ED">
              <w:rPr>
                <w:color w:val="auto"/>
              </w:rPr>
              <w:br/>
              <w:t>Noteikumu projekta 36. punktā ir nosauktas lietotāju grupas, kas “DigiSoc” datus iegūst bez maksas, taču nav skaidrs:</w:t>
            </w:r>
            <w:r w:rsidRPr="007779ED">
              <w:rPr>
                <w:color w:val="auto"/>
              </w:rPr>
              <w:br/>
              <w:t>pakalpojuma sniedzēja izmantotā sistēma atbilst kādam no 36.punktā minētiem subjektiem;</w:t>
            </w:r>
            <w:r w:rsidRPr="007779ED">
              <w:rPr>
                <w:color w:val="auto"/>
              </w:rPr>
              <w:br/>
              <w:t>ja neatbilst, vai tas nozīmē, kā pakalpojumu sniedzēju izmantotā sistēma datus iegūs par maksu? Un kāds būs maksas apmērs?</w:t>
            </w:r>
            <w:r w:rsidRPr="007779ED">
              <w:rPr>
                <w:color w:val="auto"/>
              </w:rPr>
              <w:br/>
            </w:r>
            <w:r w:rsidRPr="007779ED">
              <w:rPr>
                <w:color w:val="auto"/>
              </w:rPr>
              <w:lastRenderedPageBreak/>
              <w:t>Ja pakalpojumu sniedzējs ir privātpersona, kura publiska iepirkuma procesā sniedz pakalpojumu valstij vai pašvaldībai (nav deleģējums) iegūst datus par maksu?  </w:t>
            </w:r>
            <w:r w:rsidRPr="007779ED">
              <w:rPr>
                <w:color w:val="auto"/>
              </w:rPr>
              <w:br/>
            </w:r>
            <w:r w:rsidRPr="007779ED">
              <w:rPr>
                <w:b/>
                <w:color w:val="auto"/>
              </w:rPr>
              <w:t>Mūsu ierosinājums</w:t>
            </w:r>
            <w:r w:rsidRPr="007779ED">
              <w:rPr>
                <w:color w:val="auto"/>
              </w:rPr>
              <w:t>: noteikumu projektā vai anotācijā precizēt, kas tieši un kādā mērā attiecas uz sociālo pakalpojumu sniedzējiem</w:t>
            </w:r>
            <w:r w:rsidRPr="007779ED">
              <w:rPr>
                <w:color w:val="auto"/>
              </w:rPr>
              <w:br/>
            </w:r>
            <w:r w:rsidRPr="007779ED">
              <w:rPr>
                <w:color w:val="auto"/>
              </w:rPr>
              <w:br/>
            </w:r>
            <w:r w:rsidRPr="007779ED">
              <w:rPr>
                <w:b/>
                <w:color w:val="auto"/>
              </w:rPr>
              <w:t>Par elektronisko lietu saturu</w:t>
            </w:r>
            <w:r w:rsidRPr="007779ED">
              <w:rPr>
                <w:color w:val="auto"/>
              </w:rPr>
              <w:br/>
            </w:r>
            <w:r w:rsidRPr="007779ED">
              <w:rPr>
                <w:color w:val="auto"/>
              </w:rPr>
              <w:br/>
              <w:t>Noteikumu projekta anotācijā noteikts, ka “Palīdzības saņēmēju elektroniskās lietas nodrošinās iespēju dažādām pakalpojumu organizēšanā, sniegšanā un kontrolē iekļautajām pusēm piekļūt nepieciešamajai informācijai atbilstoši to veicamajiem uzdevumiem”.</w:t>
            </w:r>
            <w:r w:rsidRPr="007779ED">
              <w:rPr>
                <w:color w:val="auto"/>
              </w:rPr>
              <w:br/>
              <w:t xml:space="preserve">Taču noteikumu projektā nav aprakstīti organizatoriskie (atbildīgais vai process) vai tehniskie (veids kā datu iegūšanu ierosināt) mehānismi, ja sociālo pakalpojumu sniedzējiem ir </w:t>
            </w:r>
            <w:r w:rsidRPr="007779ED">
              <w:rPr>
                <w:color w:val="auto"/>
              </w:rPr>
              <w:lastRenderedPageBreak/>
              <w:t>līgumisks pamats un tehniska iespēja piekļūt nepieciešamajai informācijai, bet atbilstošās informācijas DigiSoc nav vai tā nav pieejama sociālo pakalpojumu sniedzējam. Piemēram, ja sociālo pakalpojumu sniedzējs vēlas iesniegt atskaiti par sociālajam dienesta klientu, bet klienta vai pakalpojuma dati sistēmā nav vai tie ir kļūdaini.</w:t>
            </w:r>
            <w:r w:rsidRPr="007779ED">
              <w:rPr>
                <w:color w:val="auto"/>
              </w:rPr>
              <w:br/>
            </w:r>
            <w:r w:rsidRPr="007779ED">
              <w:rPr>
                <w:b/>
                <w:color w:val="auto"/>
              </w:rPr>
              <w:t>Mūsu ierosinājum</w:t>
            </w:r>
            <w:r w:rsidRPr="007779ED">
              <w:rPr>
                <w:color w:val="auto"/>
              </w:rPr>
              <w:t>s: noteikumu projektā vai anotācijā precizēt informācijas pieejamības vai kvalitātes jautājumu risināšanas kārtību</w:t>
            </w:r>
            <w:r w:rsidRPr="007779ED">
              <w:rPr>
                <w:color w:val="auto"/>
              </w:rPr>
              <w:br/>
            </w:r>
            <w:r w:rsidRPr="007779ED">
              <w:rPr>
                <w:color w:val="auto"/>
              </w:rPr>
              <w:br/>
            </w:r>
            <w:r w:rsidRPr="007779ED">
              <w:rPr>
                <w:b/>
                <w:color w:val="auto"/>
              </w:rPr>
              <w:t>Par līguma slēdzēju pusi attiecībā uz datu nodošanu “DigiSoc”</w:t>
            </w:r>
            <w:r w:rsidRPr="007779ED">
              <w:rPr>
                <w:color w:val="auto"/>
              </w:rPr>
              <w:br/>
            </w:r>
            <w:r w:rsidRPr="007779ED">
              <w:rPr>
                <w:color w:val="auto"/>
              </w:rPr>
              <w:br/>
              <w:t>Noteikumu projektā nav saprotami formulēts, ar kuru juridisko personu var tikt slēgts līgums par datu apmaiņu ar “DigiSoc”:</w:t>
            </w:r>
            <w:r w:rsidRPr="007779ED">
              <w:rPr>
                <w:color w:val="auto"/>
              </w:rPr>
              <w:br/>
              <w:t xml:space="preserve">vai līgums tiks slēgts ar pašu sociālā pakalpojuma sniedzēju (piemēram, biedrību), kura nodod </w:t>
            </w:r>
            <w:r w:rsidRPr="007779ED">
              <w:rPr>
                <w:color w:val="auto"/>
              </w:rPr>
              <w:lastRenderedPageBreak/>
              <w:t>datus,</w:t>
            </w:r>
            <w:r w:rsidRPr="007779ED">
              <w:rPr>
                <w:color w:val="auto"/>
              </w:rPr>
              <w:br/>
              <w:t>vai arī pakalpojuma sniedzēju / platformas turētāju (piemēram, uzņēmumu, kas uztur sociālā pakalpojuma sniedzēja izmantoto informācijas sistēmu).</w:t>
            </w:r>
            <w:r w:rsidRPr="007779ED">
              <w:rPr>
                <w:color w:val="auto"/>
              </w:rPr>
              <w:br/>
              <w:t xml:space="preserve">Neskaidrība var radīt gan juridiskas, gan praktiskas problēmas – īpaši gadījumos, kad sociālo pakalpojumu sniedzēji izmanto ārēju platformu (piem., </w:t>
            </w:r>
            <w:proofErr w:type="spellStart"/>
            <w:r w:rsidRPr="007779ED">
              <w:rPr>
                <w:color w:val="auto"/>
              </w:rPr>
              <w:t>APSis</w:t>
            </w:r>
            <w:proofErr w:type="spellEnd"/>
            <w:r w:rsidRPr="007779ED">
              <w:rPr>
                <w:color w:val="auto"/>
              </w:rPr>
              <w:t>), kuru pārvalda cits uzņēmums.</w:t>
            </w:r>
            <w:r w:rsidRPr="007779ED">
              <w:rPr>
                <w:color w:val="auto"/>
              </w:rPr>
              <w:br/>
            </w:r>
            <w:r w:rsidRPr="007779ED">
              <w:rPr>
                <w:b/>
                <w:color w:val="auto"/>
              </w:rPr>
              <w:t>Mūsu ierosinājums</w:t>
            </w:r>
            <w:r w:rsidRPr="007779ED">
              <w:rPr>
                <w:color w:val="auto"/>
              </w:rPr>
              <w:t>: noteikumu projektā precīzi atrunāt, ka līgums par datu nodošanu “DigiSoc” tiek slēgts ar sociālā pakalpojuma sniedzēju kā datu pārzini, savukārt tehniskā integrācija ar ārēju platformu tiek nodrošināta, balstoties uz šī sniedzēja un viņa IT pakalpojuma uzturētāja vienošanos. Tas nodrošinās datu aizsardzības prasību ievērošanu un skaidru atbildības sadalījumu.</w:t>
            </w:r>
            <w:r w:rsidRPr="007779ED">
              <w:rPr>
                <w:color w:val="auto"/>
              </w:rPr>
              <w:br/>
            </w:r>
            <w:r w:rsidRPr="007779ED">
              <w:rPr>
                <w:color w:val="auto"/>
              </w:rPr>
              <w:br/>
            </w:r>
            <w:r w:rsidRPr="007779ED">
              <w:rPr>
                <w:b/>
                <w:color w:val="auto"/>
              </w:rPr>
              <w:t>Par dubultas datu ievades nepieļaušanu</w:t>
            </w:r>
            <w:r w:rsidRPr="007779ED">
              <w:rPr>
                <w:color w:val="auto"/>
              </w:rPr>
              <w:br/>
            </w:r>
            <w:r w:rsidRPr="007779ED">
              <w:rPr>
                <w:color w:val="auto"/>
              </w:rPr>
              <w:lastRenderedPageBreak/>
              <w:br/>
              <w:t xml:space="preserve">Noteikumu projektā nav tieši atrunāts, kā tiks organizēts datu ievads “DigiSoc” sistēmā. Pastāv risks, ka līgumā ar Labklājības ministriju par sistēmas lietošanu no sociālo pakalpojuma sniedzēja var tikt prasīta gan manuāla datu ievade, gan integrācija ar sociālā pakalpojuma sniedzēja sistēmu (piemēram, </w:t>
            </w:r>
            <w:proofErr w:type="spellStart"/>
            <w:r w:rsidRPr="007779ED">
              <w:rPr>
                <w:color w:val="auto"/>
              </w:rPr>
              <w:t>APSis</w:t>
            </w:r>
            <w:proofErr w:type="spellEnd"/>
            <w:r w:rsidRPr="007779ED">
              <w:rPr>
                <w:color w:val="auto"/>
              </w:rPr>
              <w:t>).</w:t>
            </w:r>
            <w:r w:rsidRPr="007779ED">
              <w:rPr>
                <w:color w:val="auto"/>
              </w:rPr>
              <w:br/>
              <w:t>Šāda prasība būtu nesamērīga, jo:</w:t>
            </w:r>
            <w:r w:rsidRPr="007779ED">
              <w:rPr>
                <w:color w:val="auto"/>
              </w:rPr>
              <w:br/>
              <w:t>- radītu būtisku papildu administratīvo slogu sociālo pakalpojumu sniedzējiem;</w:t>
            </w:r>
            <w:r w:rsidRPr="007779ED">
              <w:rPr>
                <w:color w:val="auto"/>
              </w:rPr>
              <w:br/>
              <w:t>- prasītu papildu personāla resursus vai samazinātu laiku, ko darbinieki var veltīt tieši klientu aprūpei;</w:t>
            </w:r>
            <w:r w:rsidRPr="007779ED">
              <w:rPr>
                <w:color w:val="auto"/>
              </w:rPr>
              <w:br/>
              <w:t>- palielinātu cilvēcisko kļūdu iespējamību; vieni un tie paši dati var tikt ievadīti vai validēti vai nodoti dažādās veidos vai dažas vietās (tiešsaistē un/vai caur integrāciju);</w:t>
            </w:r>
            <w:r w:rsidRPr="007779ED">
              <w:rPr>
                <w:color w:val="auto"/>
              </w:rPr>
              <w:br/>
              <w:t xml:space="preserve">- būtu pretrunā ar digitālās transformācijas pamatprincipiem un publiski deklarēto mērķi </w:t>
            </w:r>
            <w:r w:rsidRPr="007779ED">
              <w:rPr>
                <w:color w:val="auto"/>
              </w:rPr>
              <w:lastRenderedPageBreak/>
              <w:t>atvieglot datu apriti un administratīvo darbu.</w:t>
            </w:r>
            <w:r w:rsidRPr="007779ED">
              <w:rPr>
                <w:color w:val="auto"/>
              </w:rPr>
              <w:br/>
            </w:r>
            <w:r w:rsidRPr="007779ED">
              <w:rPr>
                <w:b/>
                <w:color w:val="auto"/>
              </w:rPr>
              <w:t>Mūsu ierosināju</w:t>
            </w:r>
            <w:r w:rsidRPr="007779ED">
              <w:rPr>
                <w:color w:val="auto"/>
              </w:rPr>
              <w:t>ms: noteikumu projektā skaidri paredzēt, ka līgumos ar LM par sistēmas lietošanu netiek prasīta dubulta datu ievade. Sociālo pakalpojumu sniedzēji, kuri strādā savā sistēmā, datus nodod “DigiSoc” integrācijas ceļā, izmantojot tehniskos risinājumus, nevis manuāli divās dažādās vietās.</w:t>
            </w:r>
            <w:r w:rsidRPr="007779ED">
              <w:rPr>
                <w:color w:val="auto"/>
              </w:rPr>
              <w:br/>
            </w:r>
            <w:r w:rsidRPr="007779ED">
              <w:rPr>
                <w:color w:val="auto"/>
              </w:rPr>
              <w:br/>
            </w:r>
            <w:r w:rsidRPr="007779ED">
              <w:rPr>
                <w:b/>
                <w:color w:val="auto"/>
              </w:rPr>
              <w:t>Papildus vēlamies norādīt uz šādiem neskaidriem jautājumiem, kuriem jārod atbilde jau tagad:</w:t>
            </w:r>
            <w:r w:rsidRPr="007779ED">
              <w:rPr>
                <w:color w:val="auto"/>
              </w:rPr>
              <w:br/>
              <w:t>- jāprecizē datu nodošanas un apmaiņas tehniskos standartus (formātus, API, drošības protokolus), lai sniedzēji varētu laikus sagatavoties integrācijai;</w:t>
            </w:r>
            <w:r w:rsidRPr="007779ED">
              <w:rPr>
                <w:color w:val="auto"/>
              </w:rPr>
              <w:br/>
              <w:t xml:space="preserve">- jāskaidro kā tiks testēta un apstiprināta esošo sistēmu (piem., </w:t>
            </w:r>
            <w:proofErr w:type="spellStart"/>
            <w:r w:rsidRPr="007779ED">
              <w:rPr>
                <w:color w:val="auto"/>
              </w:rPr>
              <w:t>APSis</w:t>
            </w:r>
            <w:proofErr w:type="spellEnd"/>
            <w:r w:rsidRPr="007779ED">
              <w:rPr>
                <w:color w:val="auto"/>
              </w:rPr>
              <w:t>) savietojamība ar “</w:t>
            </w:r>
            <w:proofErr w:type="spellStart"/>
            <w:r w:rsidRPr="007779ED">
              <w:rPr>
                <w:color w:val="auto"/>
              </w:rPr>
              <w:t>DigiSoc</w:t>
            </w:r>
            <w:proofErr w:type="spellEnd"/>
            <w:r w:rsidRPr="007779ED">
              <w:rPr>
                <w:color w:val="auto"/>
              </w:rPr>
              <w:t>”.</w:t>
            </w:r>
          </w:p>
        </w:tc>
        <w:tc>
          <w:tcPr>
            <w:tcW w:w="1650" w:type="dxa"/>
            <w:shd w:val="clear" w:color="auto" w:fill="FFFFFF"/>
            <w:noWrap/>
            <w:tcMar>
              <w:top w:w="75" w:type="dxa"/>
              <w:left w:w="75" w:type="dxa"/>
              <w:bottom w:w="75" w:type="dxa"/>
              <w:right w:w="75" w:type="dxa"/>
            </w:tcMar>
            <w:vAlign w:val="center"/>
          </w:tcPr>
          <w:p w14:paraId="66F5E4E4" w14:textId="591EE2CC" w:rsidR="002B73B4" w:rsidRPr="007779ED" w:rsidRDefault="002C1541" w:rsidP="00A95F7A">
            <w:pPr>
              <w:rPr>
                <w:color w:val="auto"/>
              </w:rPr>
            </w:pPr>
            <w:r w:rsidRPr="007779ED">
              <w:rPr>
                <w:color w:val="auto"/>
              </w:rPr>
              <w:lastRenderedPageBreak/>
              <w:t>Daļēji ņemts vērā</w:t>
            </w:r>
          </w:p>
        </w:tc>
        <w:tc>
          <w:tcPr>
            <w:tcW w:w="4056" w:type="dxa"/>
            <w:shd w:val="clear" w:color="auto" w:fill="FFFFFF"/>
            <w:noWrap/>
            <w:tcMar>
              <w:top w:w="75" w:type="dxa"/>
              <w:left w:w="75" w:type="dxa"/>
              <w:bottom w:w="75" w:type="dxa"/>
              <w:right w:w="75" w:type="dxa"/>
            </w:tcMar>
            <w:vAlign w:val="center"/>
          </w:tcPr>
          <w:p w14:paraId="61FD1C13" w14:textId="2015E471" w:rsidR="0042144C" w:rsidRPr="007779ED" w:rsidRDefault="0042144C" w:rsidP="00A95F7A">
            <w:pPr>
              <w:rPr>
                <w:color w:val="auto"/>
                <w:szCs w:val="28"/>
              </w:rPr>
            </w:pPr>
            <w:r w:rsidRPr="007779ED">
              <w:rPr>
                <w:color w:val="auto"/>
                <w:szCs w:val="28"/>
              </w:rPr>
              <w:t xml:space="preserve">Ir ņemts vērā biedrības "Latvijas Samariešu apvienība" iebildums par to, ka platformas "DigiSoc" izmantošana sociālo pakalpojumu sniedzējiem nebūtu nosakāms kā pienākums, bet gan tikai kā tiesības. </w:t>
            </w:r>
            <w:r w:rsidRPr="00DA3163">
              <w:rPr>
                <w:color w:val="auto"/>
                <w:szCs w:val="28"/>
              </w:rPr>
              <w:t xml:space="preserve">Tādas sociālo pakalpojumu tiesības nostiprinātas ar SPSPL 17. panta sestās daļas </w:t>
            </w:r>
            <w:r w:rsidRPr="00DA3163">
              <w:rPr>
                <w:color w:val="auto"/>
                <w:szCs w:val="28"/>
              </w:rPr>
              <w:lastRenderedPageBreak/>
              <w:t>grozījumiem,</w:t>
            </w:r>
            <w:r w:rsidR="007779ED" w:rsidRPr="00DA3163">
              <w:rPr>
                <w:color w:val="auto"/>
                <w:szCs w:val="28"/>
              </w:rPr>
              <w:t xml:space="preserve"> kas pieņemti 20.11.2025</w:t>
            </w:r>
            <w:r w:rsidRPr="00DA3163">
              <w:rPr>
                <w:color w:val="auto"/>
                <w:szCs w:val="28"/>
              </w:rPr>
              <w:t xml:space="preserve">. Noteikumu projekta 32. </w:t>
            </w:r>
            <w:r w:rsidR="00EF5E94" w:rsidRPr="00DA3163">
              <w:rPr>
                <w:color w:val="auto"/>
                <w:szCs w:val="28"/>
              </w:rPr>
              <w:t>p</w:t>
            </w:r>
            <w:r w:rsidRPr="00DA3163">
              <w:rPr>
                <w:color w:val="auto"/>
                <w:szCs w:val="28"/>
              </w:rPr>
              <w:t xml:space="preserve">unktā ir noteikti </w:t>
            </w:r>
            <w:r w:rsidRPr="007779ED">
              <w:rPr>
                <w:color w:val="auto"/>
                <w:szCs w:val="28"/>
              </w:rPr>
              <w:t xml:space="preserve">veidi, kādā veidā notiks personas datu saturošās informācijas apmaiņa starp platformu "DigiSoc" un sociālo pakalpojumu sniedzēju iekšējām informācijas sistēmām (tās integrējot). Tādēļ ierosinājums Noteikumu projektā tieši un skaidri nostiprināt, ka sociālo pakalpojumu sniedzēji nav ierobežoti lietot savas sistēmas netiek ņemts vērā. </w:t>
            </w:r>
          </w:p>
          <w:p w14:paraId="7A1F5D9C" w14:textId="77777777" w:rsidR="0042144C" w:rsidRPr="007779ED" w:rsidRDefault="0042144C" w:rsidP="00A95F7A">
            <w:pPr>
              <w:rPr>
                <w:color w:val="auto"/>
                <w:szCs w:val="28"/>
              </w:rPr>
            </w:pPr>
          </w:p>
          <w:p w14:paraId="5350E627" w14:textId="619A36DD" w:rsidR="002C1541" w:rsidRPr="007779ED" w:rsidRDefault="002C1541" w:rsidP="00A95F7A">
            <w:pPr>
              <w:rPr>
                <w:color w:val="auto"/>
                <w:szCs w:val="28"/>
              </w:rPr>
            </w:pPr>
          </w:p>
          <w:p w14:paraId="62C9BA1F" w14:textId="77777777" w:rsidR="00CF0354" w:rsidRPr="007779ED" w:rsidRDefault="00CF0354" w:rsidP="00A95F7A">
            <w:pPr>
              <w:rPr>
                <w:color w:val="auto"/>
                <w:szCs w:val="28"/>
              </w:rPr>
            </w:pPr>
            <w:r w:rsidRPr="007779ED">
              <w:rPr>
                <w:color w:val="auto"/>
                <w:szCs w:val="28"/>
              </w:rPr>
              <w:t xml:space="preserve">Noteikumu projekta 35.5. apakšpunktā noteikts, ka tiesības bez maksas saņemt ziņas no informācijas sistēmas, tai skaitā izmantojot e-pakalpojumus, ir personām, kurām deleģēta valsts pārvaldes uzdevumu izpilde, – deleģēto uzdevumu izpildei nepieciešamajā apjomā. Šie tiesību subjekti ir arī sociālo pakalpojumu sniedzēji, ja vien tiem ir deleģēta valsts pārvaldes uzdevuma izpilde. </w:t>
            </w:r>
            <w:r w:rsidRPr="007779ED">
              <w:rPr>
                <w:color w:val="auto"/>
                <w:szCs w:val="28"/>
              </w:rPr>
              <w:lastRenderedPageBreak/>
              <w:t xml:space="preserve">Ja šāda uzdevuma izpilde nav noteikta, tad sociālo pakalpojumu sniedzējam ir liegta iespēja saņemt personas datus no platformas "DigiSoc". Maksa šādos gadījumos netiks noteikta un informācija netiks izsniegta. </w:t>
            </w:r>
          </w:p>
          <w:p w14:paraId="517E9BA3" w14:textId="77777777" w:rsidR="00CF0354" w:rsidRPr="007779ED" w:rsidRDefault="00CF0354" w:rsidP="00A95F7A">
            <w:pPr>
              <w:rPr>
                <w:color w:val="auto"/>
                <w:szCs w:val="28"/>
              </w:rPr>
            </w:pPr>
          </w:p>
          <w:p w14:paraId="7A0EBA91" w14:textId="77777777" w:rsidR="005950CF" w:rsidRPr="007779ED" w:rsidRDefault="002C1541" w:rsidP="00A95F7A">
            <w:pPr>
              <w:rPr>
                <w:color w:val="auto"/>
                <w:szCs w:val="28"/>
              </w:rPr>
            </w:pPr>
            <w:r w:rsidRPr="007779ED">
              <w:rPr>
                <w:color w:val="auto"/>
                <w:szCs w:val="28"/>
              </w:rPr>
              <w:t xml:space="preserve">Attiecība uz datu nodošanu no SOPA noteikumi ir papildināti ar pārejas noteikumu par datu nodošanu. </w:t>
            </w:r>
          </w:p>
          <w:p w14:paraId="18DA0A75" w14:textId="77777777" w:rsidR="005950CF" w:rsidRPr="007779ED" w:rsidRDefault="005950CF" w:rsidP="00A95F7A">
            <w:pPr>
              <w:rPr>
                <w:color w:val="auto"/>
                <w:szCs w:val="28"/>
              </w:rPr>
            </w:pPr>
          </w:p>
          <w:p w14:paraId="7437AE2C" w14:textId="595A5B1C" w:rsidR="002C1541" w:rsidRPr="007779ED" w:rsidRDefault="005C6620" w:rsidP="00A95F7A">
            <w:pPr>
              <w:rPr>
                <w:color w:val="auto"/>
                <w:szCs w:val="28"/>
              </w:rPr>
            </w:pPr>
            <w:r w:rsidRPr="007779ED">
              <w:rPr>
                <w:color w:val="auto"/>
                <w:szCs w:val="28"/>
              </w:rPr>
              <w:t>Savukārt visas citas nianses, kas skar datu nodošanu un saņemšanu pārejas posmā, atrunājo</w:t>
            </w:r>
            <w:r w:rsidR="00CF0354" w:rsidRPr="007779ED">
              <w:rPr>
                <w:color w:val="auto"/>
                <w:szCs w:val="28"/>
              </w:rPr>
              <w:t>t</w:t>
            </w:r>
            <w:r w:rsidRPr="007779ED">
              <w:rPr>
                <w:color w:val="auto"/>
                <w:szCs w:val="28"/>
              </w:rPr>
              <w:t xml:space="preserve"> kādā veidā dati tiek nodoti, noteikumos netiks noteikti, minēto informāciju būs iespējams atrunāt sadarbības līgumos</w:t>
            </w:r>
            <w:r w:rsidR="005950CF" w:rsidRPr="007779ED">
              <w:rPr>
                <w:color w:val="auto"/>
                <w:szCs w:val="28"/>
              </w:rPr>
              <w:t xml:space="preserve"> nevis </w:t>
            </w:r>
            <w:r w:rsidR="005C03BA">
              <w:rPr>
                <w:color w:val="auto"/>
                <w:szCs w:val="28"/>
              </w:rPr>
              <w:t>N</w:t>
            </w:r>
            <w:r w:rsidR="005950CF" w:rsidRPr="007779ED">
              <w:rPr>
                <w:color w:val="auto"/>
                <w:szCs w:val="28"/>
              </w:rPr>
              <w:t xml:space="preserve">oteikumos. </w:t>
            </w:r>
            <w:r w:rsidR="00D50278" w:rsidRPr="007779ED">
              <w:rPr>
                <w:color w:val="auto"/>
                <w:szCs w:val="28"/>
              </w:rPr>
              <w:t>N</w:t>
            </w:r>
            <w:r w:rsidR="00DF79DE" w:rsidRPr="007779ED">
              <w:rPr>
                <w:color w:val="auto"/>
                <w:szCs w:val="28"/>
              </w:rPr>
              <w:t>oteikumos netiek detalizēti aprakstīts viss tehniskais process, kādā veidā</w:t>
            </w:r>
            <w:r w:rsidR="00536FC6" w:rsidRPr="007779ED">
              <w:rPr>
                <w:color w:val="auto"/>
                <w:szCs w:val="28"/>
              </w:rPr>
              <w:t xml:space="preserve"> </w:t>
            </w:r>
            <w:r w:rsidR="00DF79DE" w:rsidRPr="007779ED">
              <w:rPr>
                <w:color w:val="auto"/>
                <w:szCs w:val="28"/>
              </w:rPr>
              <w:t>dati tiks nodoti</w:t>
            </w:r>
            <w:r w:rsidR="00536FC6" w:rsidRPr="007779ED">
              <w:rPr>
                <w:color w:val="auto"/>
                <w:szCs w:val="28"/>
              </w:rPr>
              <w:t xml:space="preserve"> vai</w:t>
            </w:r>
            <w:r w:rsidR="00DF79DE" w:rsidRPr="007779ED">
              <w:rPr>
                <w:color w:val="auto"/>
                <w:szCs w:val="28"/>
              </w:rPr>
              <w:t xml:space="preserve"> saņemti, jo nav iespējams atrunāt visas nianses, ņemot vērā to, ka ar katru datu devēju vai datu saņēmēju </w:t>
            </w:r>
            <w:r w:rsidR="005B3CBE" w:rsidRPr="007779ED">
              <w:rPr>
                <w:color w:val="auto"/>
                <w:szCs w:val="28"/>
              </w:rPr>
              <w:t xml:space="preserve">var būt dažādas situācijas. Tāpēc </w:t>
            </w:r>
            <w:r w:rsidR="005C03BA">
              <w:rPr>
                <w:color w:val="auto"/>
                <w:szCs w:val="28"/>
              </w:rPr>
              <w:t>N</w:t>
            </w:r>
            <w:r w:rsidR="005B3CBE" w:rsidRPr="007779ED">
              <w:rPr>
                <w:color w:val="auto"/>
                <w:szCs w:val="28"/>
              </w:rPr>
              <w:t xml:space="preserve">oteikumu 32. </w:t>
            </w:r>
            <w:r w:rsidR="005B3CBE" w:rsidRPr="007779ED">
              <w:rPr>
                <w:color w:val="auto"/>
                <w:szCs w:val="28"/>
              </w:rPr>
              <w:lastRenderedPageBreak/>
              <w:t xml:space="preserve">punktā ir noteikti visi datu nodošanas veidi, bet līgumos ar katru datu devēju </w:t>
            </w:r>
            <w:r w:rsidR="009F12E6" w:rsidRPr="007779ED">
              <w:rPr>
                <w:color w:val="auto"/>
                <w:szCs w:val="28"/>
              </w:rPr>
              <w:t xml:space="preserve">informācija tiks atrunāta detalizētāk, ietverot visus nepieciešamus jautājumus. </w:t>
            </w:r>
          </w:p>
          <w:p w14:paraId="2798A75E" w14:textId="697E355C" w:rsidR="00397E44" w:rsidRPr="007779ED" w:rsidRDefault="00536FC6" w:rsidP="00A95F7A">
            <w:pPr>
              <w:pStyle w:val="Vresteksts"/>
              <w:jc w:val="both"/>
              <w:rPr>
                <w:rFonts w:ascii="Times New Roman" w:hAnsi="Times New Roman"/>
                <w:sz w:val="28"/>
                <w:szCs w:val="28"/>
              </w:rPr>
            </w:pPr>
            <w:r w:rsidRPr="007779ED">
              <w:rPr>
                <w:rFonts w:ascii="Times New Roman" w:hAnsi="Times New Roman"/>
                <w:sz w:val="28"/>
                <w:szCs w:val="28"/>
              </w:rPr>
              <w:t>Savukārt visa informācija par līgumiem (vienošanām) ir atrunāt</w:t>
            </w:r>
            <w:r w:rsidR="00FF6769" w:rsidRPr="007779ED">
              <w:rPr>
                <w:rFonts w:ascii="Times New Roman" w:hAnsi="Times New Roman"/>
                <w:sz w:val="28"/>
                <w:szCs w:val="28"/>
              </w:rPr>
              <w:t>a</w:t>
            </w:r>
            <w:r w:rsidRPr="007779ED">
              <w:rPr>
                <w:rFonts w:ascii="Times New Roman" w:hAnsi="Times New Roman"/>
                <w:sz w:val="28"/>
                <w:szCs w:val="28"/>
              </w:rPr>
              <w:t xml:space="preserve"> 36.punktā. </w:t>
            </w:r>
          </w:p>
          <w:p w14:paraId="6ADF49B0" w14:textId="343A6A32" w:rsidR="000736D0" w:rsidRPr="007779ED" w:rsidRDefault="005F53E3" w:rsidP="00A95F7A">
            <w:pPr>
              <w:pStyle w:val="Vresteksts"/>
              <w:jc w:val="both"/>
              <w:rPr>
                <w:rFonts w:ascii="Times New Roman" w:hAnsi="Times New Roman"/>
                <w:sz w:val="28"/>
                <w:szCs w:val="28"/>
              </w:rPr>
            </w:pPr>
            <w:r w:rsidRPr="007779ED">
              <w:rPr>
                <w:rFonts w:ascii="Times New Roman" w:hAnsi="Times New Roman"/>
                <w:sz w:val="28"/>
                <w:szCs w:val="28"/>
              </w:rPr>
              <w:t>Sociālo pakalpojumu un sociālās palīdzības likum</w:t>
            </w:r>
            <w:r w:rsidR="00D921DC" w:rsidRPr="007779ED">
              <w:rPr>
                <w:rFonts w:ascii="Times New Roman" w:hAnsi="Times New Roman"/>
                <w:sz w:val="28"/>
                <w:szCs w:val="28"/>
              </w:rPr>
              <w:t xml:space="preserve">a 17.panta </w:t>
            </w:r>
            <w:r w:rsidR="002F60F6" w:rsidRPr="007779ED">
              <w:rPr>
                <w:rFonts w:ascii="Times New Roman" w:hAnsi="Times New Roman"/>
                <w:sz w:val="28"/>
                <w:szCs w:val="28"/>
              </w:rPr>
              <w:t xml:space="preserve">sestā daļa (pieņemti grozījumi 20.11.2025) nosaka, ka sociālo pakalpojumu sniedzējam, nodrošinot valsts un pašvaldību sociālos pakalpojumus, sociālo pakalpojumu administrēšanu, klientu lietu vešanas un uzskaites nolūkā ir tiesības Labklājības nozares un pašvaldību sociālās jomas valsts informācijas sistēmā apstrādāt personas datus, tostarp par personām piešķirtajiem un sniegtajiem sociālajiem pakalpojumiem, informāciju par pakalpojuma pieejamību un to sniegšanas kapacitāti, kā arī datus par pakalpojumu sniegšanas </w:t>
            </w:r>
            <w:r w:rsidR="002F60F6" w:rsidRPr="007779ED">
              <w:rPr>
                <w:rFonts w:ascii="Times New Roman" w:hAnsi="Times New Roman"/>
                <w:sz w:val="28"/>
                <w:szCs w:val="28"/>
              </w:rPr>
              <w:lastRenderedPageBreak/>
              <w:t>izmaksām un finansējuma avotiem.</w:t>
            </w:r>
          </w:p>
          <w:p w14:paraId="7828423A" w14:textId="22E7DE82" w:rsidR="00FF6769" w:rsidRPr="007779ED" w:rsidRDefault="00FF6769" w:rsidP="00A95F7A">
            <w:pPr>
              <w:pStyle w:val="Vresteksts"/>
              <w:jc w:val="both"/>
              <w:rPr>
                <w:rFonts w:ascii="Times New Roman" w:hAnsi="Times New Roman"/>
                <w:sz w:val="28"/>
                <w:szCs w:val="28"/>
              </w:rPr>
            </w:pPr>
            <w:r w:rsidRPr="007779ED">
              <w:rPr>
                <w:rFonts w:ascii="Times New Roman" w:hAnsi="Times New Roman"/>
                <w:sz w:val="28"/>
                <w:szCs w:val="28"/>
              </w:rPr>
              <w:t>Minētais nozīmē, ka primāri sociālo pakalpojumu sniedzējs slēdz līgumu ar pašvaldību</w:t>
            </w:r>
            <w:r w:rsidR="00E56EE0" w:rsidRPr="007779ED">
              <w:rPr>
                <w:rFonts w:ascii="Times New Roman" w:hAnsi="Times New Roman"/>
                <w:sz w:val="28"/>
                <w:szCs w:val="28"/>
              </w:rPr>
              <w:t>, attiecīgi pašvaldība lūdz piešķirt DigiSoc lietošanas tiesības sociālo pakalpojumu sniedzējam</w:t>
            </w:r>
            <w:r w:rsidR="00B345AF" w:rsidRPr="007779ED">
              <w:rPr>
                <w:rFonts w:ascii="Times New Roman" w:hAnsi="Times New Roman"/>
                <w:sz w:val="28"/>
                <w:szCs w:val="28"/>
              </w:rPr>
              <w:t xml:space="preserve">. </w:t>
            </w:r>
            <w:r w:rsidR="00FA7C59" w:rsidRPr="007779ED">
              <w:rPr>
                <w:rFonts w:ascii="Times New Roman" w:hAnsi="Times New Roman"/>
                <w:sz w:val="28"/>
                <w:szCs w:val="28"/>
              </w:rPr>
              <w:t>Noteikumu projekts ir papildināts ar apakšpunktu 36.</w:t>
            </w:r>
            <w:r w:rsidR="00B3733B" w:rsidRPr="007779ED">
              <w:rPr>
                <w:rFonts w:ascii="Times New Roman" w:hAnsi="Times New Roman"/>
                <w:sz w:val="28"/>
                <w:szCs w:val="28"/>
              </w:rPr>
              <w:t>8. un 3</w:t>
            </w:r>
            <w:r w:rsidR="00704306" w:rsidRPr="007779ED">
              <w:rPr>
                <w:rFonts w:ascii="Times New Roman" w:hAnsi="Times New Roman"/>
                <w:sz w:val="28"/>
                <w:szCs w:val="28"/>
              </w:rPr>
              <w:t>7.punktu</w:t>
            </w:r>
          </w:p>
          <w:p w14:paraId="025AF4B2" w14:textId="26599B4A" w:rsidR="002B73B4" w:rsidRPr="007779ED" w:rsidRDefault="002B73B4" w:rsidP="00E70D3C">
            <w:pPr>
              <w:pStyle w:val="Vresteksts"/>
              <w:jc w:val="both"/>
            </w:pPr>
          </w:p>
        </w:tc>
      </w:tr>
      <w:tr w:rsidR="00D50278" w:rsidRPr="007779ED" w14:paraId="6889A01A" w14:textId="77777777">
        <w:tc>
          <w:tcPr>
            <w:tcW w:w="750" w:type="dxa"/>
            <w:shd w:val="clear" w:color="auto" w:fill="FFFFFF"/>
            <w:noWrap/>
            <w:tcMar>
              <w:top w:w="75" w:type="dxa"/>
              <w:left w:w="75" w:type="dxa"/>
              <w:bottom w:w="75" w:type="dxa"/>
              <w:right w:w="75" w:type="dxa"/>
            </w:tcMar>
            <w:vAlign w:val="center"/>
          </w:tcPr>
          <w:p w14:paraId="5A929D3F" w14:textId="77777777" w:rsidR="002B73B4" w:rsidRPr="007779ED" w:rsidRDefault="000F3313" w:rsidP="00A95F7A">
            <w:pPr>
              <w:rPr>
                <w:color w:val="auto"/>
              </w:rPr>
            </w:pPr>
            <w:r w:rsidRPr="007779ED">
              <w:rPr>
                <w:color w:val="auto"/>
              </w:rPr>
              <w:lastRenderedPageBreak/>
              <w:t>3.</w:t>
            </w:r>
          </w:p>
        </w:tc>
        <w:tc>
          <w:tcPr>
            <w:tcW w:w="4055" w:type="dxa"/>
            <w:shd w:val="clear" w:color="auto" w:fill="FFFFFF"/>
            <w:noWrap/>
            <w:tcMar>
              <w:top w:w="75" w:type="dxa"/>
              <w:left w:w="75" w:type="dxa"/>
              <w:bottom w:w="75" w:type="dxa"/>
              <w:right w:w="75" w:type="dxa"/>
            </w:tcMar>
            <w:vAlign w:val="center"/>
          </w:tcPr>
          <w:p w14:paraId="45A751C7" w14:textId="77777777" w:rsidR="002B73B4" w:rsidRPr="007779ED" w:rsidRDefault="000F3313" w:rsidP="00A95F7A">
            <w:pPr>
              <w:rPr>
                <w:color w:val="auto"/>
              </w:rPr>
            </w:pPr>
            <w:r w:rsidRPr="007779ED">
              <w:rPr>
                <w:color w:val="auto"/>
              </w:rPr>
              <w:t>*Nodibinājums "Latvijas Bērnu fonds"</w:t>
            </w:r>
          </w:p>
        </w:tc>
        <w:tc>
          <w:tcPr>
            <w:tcW w:w="4056" w:type="dxa"/>
            <w:shd w:val="clear" w:color="auto" w:fill="FFFFFF"/>
            <w:noWrap/>
            <w:tcMar>
              <w:top w:w="75" w:type="dxa"/>
              <w:left w:w="75" w:type="dxa"/>
              <w:bottom w:w="75" w:type="dxa"/>
              <w:right w:w="75" w:type="dxa"/>
            </w:tcMar>
            <w:vAlign w:val="center"/>
          </w:tcPr>
          <w:p w14:paraId="3EF91B9B" w14:textId="77777777" w:rsidR="002B73B4" w:rsidRPr="007779ED" w:rsidRDefault="000F3313" w:rsidP="00A95F7A">
            <w:pPr>
              <w:rPr>
                <w:color w:val="auto"/>
              </w:rPr>
            </w:pPr>
            <w:r w:rsidRPr="007779ED">
              <w:rPr>
                <w:color w:val="auto"/>
              </w:rPr>
              <w:t>Labdien!</w:t>
            </w:r>
            <w:r w:rsidRPr="007779ED">
              <w:rPr>
                <w:color w:val="auto"/>
              </w:rPr>
              <w:br/>
              <w:t xml:space="preserve">Nodibinājums "Latvijas Bērnu fonds" (turpmāk - </w:t>
            </w:r>
            <w:r w:rsidRPr="007779ED">
              <w:rPr>
                <w:b/>
                <w:color w:val="auto"/>
              </w:rPr>
              <w:t>LBF</w:t>
            </w:r>
            <w:r w:rsidRPr="007779ED">
              <w:rPr>
                <w:color w:val="auto"/>
              </w:rPr>
              <w:t>) iepazinies ar MK noteikumu projektu un sniedz šādus priekšlikumus:</w:t>
            </w:r>
            <w:r w:rsidRPr="007779ED">
              <w:rPr>
                <w:color w:val="auto"/>
              </w:rPr>
              <w:br/>
              <w:t>Papildināt MK noteikumu 36.11. punktu:</w:t>
            </w:r>
            <w:r w:rsidRPr="007779ED">
              <w:rPr>
                <w:color w:val="auto"/>
              </w:rPr>
              <w:br/>
              <w:t>1. Ar 6.1.15.apakšpunktu (6.1.15. ziņas par aizgādības tiesību pārtraukšanu, atņemšanu un atjaunošanu, ja attiecināms). </w:t>
            </w:r>
            <w:r w:rsidRPr="007779ED">
              <w:rPr>
                <w:color w:val="auto"/>
              </w:rPr>
              <w:br/>
              <w:t>Ministru kabineta 2024.gada 13.augusta noteikumu Nr. 537 "Kārtība, kādā atmaksā valsts izdevumus par cietušajam bērnam sniegto sociālās rehabilitācijas pakalpojumu" 8.2. punkts noteic, ka, lai noskaidrotu, vai uz vainīgo personu ir attiecināms Bērnu tiesību aizsardzības likuma 52. panta 1.2 daļā noteiktais nosacījums, par bērnu izgūst šādu informāciju: </w:t>
            </w:r>
            <w:r w:rsidRPr="007779ED">
              <w:rPr>
                <w:color w:val="auto"/>
              </w:rPr>
              <w:br/>
              <w:t>8.2.1. vārds, uzvārds;</w:t>
            </w:r>
            <w:r w:rsidRPr="007779ED">
              <w:rPr>
                <w:color w:val="auto"/>
              </w:rPr>
              <w:br/>
              <w:t>8.2.2. personas kods;</w:t>
            </w:r>
            <w:r w:rsidRPr="007779ED">
              <w:rPr>
                <w:color w:val="auto"/>
              </w:rPr>
              <w:br/>
              <w:t xml:space="preserve">8.2.3. ziņas par aizgādības tiesību pārtraukšanu, atņemšanu vai atjaunošanu attiecībā uz vainīgās </w:t>
            </w:r>
            <w:r w:rsidRPr="007779ED">
              <w:rPr>
                <w:color w:val="auto"/>
              </w:rPr>
              <w:lastRenderedPageBreak/>
              <w:t>personas cietušo bērnu, ja vainīgā persona ir izdarījusi Krimināllikuma 174. pantā minēto noziedzīgo nodarījumu. </w:t>
            </w:r>
            <w:r w:rsidRPr="007779ED">
              <w:rPr>
                <w:color w:val="auto"/>
              </w:rPr>
              <w:br/>
              <w:t>Tas nozīmē, ka Bērnu tiesību aizsardzības likuma 52. panta 1.1 daļā noteiktais pienākums nav attiecināms uz personu, kura ir atzīta par vainīgu ar spēkā stājušos nolēmumu par Krimināllikuma 174. pantā minēto noziedzīgo nodarījumu, ja personas izdarītā noziedzīgā nodarījuma dēļ ir cietis šīs personas bērns un ja uz šā nolēmuma spēkā stāšanās brīdi personai nav pārtrauktas vai atņemtas aizgādības tiesības pār cietušo bērnu vai tās ir atjaunotas.</w:t>
            </w:r>
            <w:r w:rsidRPr="007779ED">
              <w:rPr>
                <w:color w:val="auto"/>
              </w:rPr>
              <w:br/>
              <w:t>Papildinot šo apakšpunktu ar 6.1.15.apakšpunktu, samazinātos birokrātiskais slogs un informācija būtu pieejama vienotā platformā un nebūtu nepieciešams papildus šo informāciju iegūt no Iedzīvotāju reģistra datu bāzes. </w:t>
            </w:r>
            <w:r w:rsidRPr="007779ED">
              <w:rPr>
                <w:color w:val="auto"/>
              </w:rPr>
              <w:br/>
            </w:r>
            <w:r w:rsidRPr="007779ED">
              <w:rPr>
                <w:color w:val="auto"/>
              </w:rPr>
              <w:br/>
            </w:r>
            <w:r w:rsidRPr="007779ED">
              <w:rPr>
                <w:color w:val="auto"/>
              </w:rPr>
              <w:lastRenderedPageBreak/>
              <w:t>2. Ar 28.1.3. apakšpunktu (28.1.3. kriminālprocesa numuru, ja tāds ir pieejams)</w:t>
            </w:r>
            <w:r w:rsidRPr="007779ED">
              <w:rPr>
                <w:color w:val="auto"/>
              </w:rPr>
              <w:br/>
              <w:t>Ministru kabineta 2024.gada 13.augusta noteikumu Nr. 537 "Kārtība, kādā atmaksā valsts izdevumus par cietušajam bērnam sniegto sociālās rehabilitācijas pakalpojumu" 5.7. apakšpunktā noteikts informācijas apjoms, kādu pašvaldību sociālie dienesti, nodibinājumi, kuru viens no dibinātājiem ir fonds, un citi Sociālo pakalpojumu sniedzēju reģistrā reģistrēti sociālo pakalpojumu sniedzēji, izmantojot informācijas sistēmas sasaistes līdzekļus, sniedz LBF.</w:t>
            </w:r>
          </w:p>
        </w:tc>
        <w:tc>
          <w:tcPr>
            <w:tcW w:w="1650" w:type="dxa"/>
            <w:shd w:val="clear" w:color="auto" w:fill="FFFFFF"/>
            <w:noWrap/>
            <w:tcMar>
              <w:top w:w="75" w:type="dxa"/>
              <w:left w:w="75" w:type="dxa"/>
              <w:bottom w:w="75" w:type="dxa"/>
              <w:right w:w="75" w:type="dxa"/>
            </w:tcMar>
            <w:vAlign w:val="center"/>
          </w:tcPr>
          <w:p w14:paraId="75A4DAC1" w14:textId="0568052C" w:rsidR="002B73B4" w:rsidRPr="007779ED" w:rsidRDefault="00474909" w:rsidP="00A95F7A">
            <w:pPr>
              <w:rPr>
                <w:color w:val="auto"/>
              </w:rPr>
            </w:pPr>
            <w:r w:rsidRPr="007779ED">
              <w:rPr>
                <w:color w:val="auto"/>
              </w:rPr>
              <w:lastRenderedPageBreak/>
              <w:t>Ņemts</w:t>
            </w:r>
            <w:r w:rsidR="00FE1738" w:rsidRPr="007779ED">
              <w:rPr>
                <w:color w:val="auto"/>
              </w:rPr>
              <w:t xml:space="preserve"> vērā</w:t>
            </w:r>
          </w:p>
        </w:tc>
        <w:tc>
          <w:tcPr>
            <w:tcW w:w="4056" w:type="dxa"/>
            <w:shd w:val="clear" w:color="auto" w:fill="FFFFFF"/>
            <w:noWrap/>
            <w:tcMar>
              <w:top w:w="75" w:type="dxa"/>
              <w:left w:w="75" w:type="dxa"/>
              <w:bottom w:w="75" w:type="dxa"/>
              <w:right w:w="75" w:type="dxa"/>
            </w:tcMar>
            <w:vAlign w:val="center"/>
          </w:tcPr>
          <w:p w14:paraId="506908F6" w14:textId="579DB81A" w:rsidR="002B73B4" w:rsidRPr="007779ED" w:rsidRDefault="00C31872" w:rsidP="00A95F7A">
            <w:pPr>
              <w:rPr>
                <w:color w:val="auto"/>
              </w:rPr>
            </w:pPr>
            <w:r w:rsidRPr="007779ED">
              <w:rPr>
                <w:color w:val="auto"/>
              </w:rPr>
              <w:t>Ir ņemts vērā nodibinājuma "Latvijas Bērnu fonds" priekšlikums un papildināts Noteikumu projekta 35.10. apakšpunkts, iekļaujot tajā arī 5.1.15. un 27.1.3. apakšpunktu, ko nodibinājums ir tiesīgs saņemt.</w:t>
            </w:r>
          </w:p>
        </w:tc>
      </w:tr>
    </w:tbl>
    <w:p w14:paraId="02D00461" w14:textId="77777777" w:rsidR="002B73B4" w:rsidRPr="007779ED" w:rsidRDefault="002B73B4" w:rsidP="00A95F7A">
      <w:pPr>
        <w:rPr>
          <w:color w:val="auto"/>
        </w:rPr>
      </w:pPr>
    </w:p>
    <w:tbl>
      <w:tblPr>
        <w:tblStyle w:val="a"/>
        <w:tblW w:w="14567" w:type="dxa"/>
        <w:tblLayout w:type="fixed"/>
        <w:tblLook w:val="0600" w:firstRow="0" w:lastRow="0" w:firstColumn="0" w:lastColumn="0" w:noHBand="1" w:noVBand="1"/>
      </w:tblPr>
      <w:tblGrid>
        <w:gridCol w:w="4855"/>
        <w:gridCol w:w="4856"/>
        <w:gridCol w:w="4856"/>
      </w:tblGrid>
      <w:tr w:rsidR="00D50278" w:rsidRPr="007779ED" w14:paraId="48F2A6C6" w14:textId="77777777">
        <w:tc>
          <w:tcPr>
            <w:tcW w:w="4855" w:type="dxa"/>
            <w:shd w:val="clear" w:color="auto" w:fill="FFFFFF"/>
            <w:noWrap/>
            <w:tcMar>
              <w:top w:w="75" w:type="dxa"/>
              <w:left w:w="75" w:type="dxa"/>
              <w:bottom w:w="75" w:type="dxa"/>
              <w:right w:w="75" w:type="dxa"/>
            </w:tcMar>
            <w:vAlign w:val="center"/>
          </w:tcPr>
          <w:p w14:paraId="0144A52E" w14:textId="77777777" w:rsidR="002B73B4" w:rsidRPr="007779ED" w:rsidRDefault="000F3313" w:rsidP="00A95F7A">
            <w:pPr>
              <w:rPr>
                <w:color w:val="auto"/>
              </w:rPr>
            </w:pPr>
            <w:r w:rsidRPr="007779ED">
              <w:rPr>
                <w:color w:val="auto"/>
              </w:rPr>
              <w:t>Datums**</w:t>
            </w:r>
          </w:p>
        </w:tc>
        <w:tc>
          <w:tcPr>
            <w:tcW w:w="4856" w:type="dxa"/>
            <w:shd w:val="clear" w:color="auto" w:fill="FFFFFF"/>
            <w:noWrap/>
            <w:tcMar>
              <w:top w:w="75" w:type="dxa"/>
              <w:left w:w="75" w:type="dxa"/>
              <w:bottom w:w="75" w:type="dxa"/>
              <w:right w:w="75" w:type="dxa"/>
            </w:tcMar>
            <w:vAlign w:val="center"/>
          </w:tcPr>
          <w:p w14:paraId="41818212" w14:textId="77777777" w:rsidR="002B73B4" w:rsidRPr="007779ED" w:rsidRDefault="002B73B4" w:rsidP="00A95F7A">
            <w:pPr>
              <w:pBdr>
                <w:bottom w:val="single" w:sz="10" w:space="1" w:color="000000"/>
              </w:pBdr>
              <w:rPr>
                <w:color w:val="auto"/>
              </w:rPr>
            </w:pPr>
          </w:p>
        </w:tc>
        <w:tc>
          <w:tcPr>
            <w:tcW w:w="4856" w:type="dxa"/>
            <w:shd w:val="clear" w:color="auto" w:fill="FFFFFF"/>
            <w:noWrap/>
            <w:tcMar>
              <w:top w:w="75" w:type="dxa"/>
              <w:left w:w="75" w:type="dxa"/>
              <w:bottom w:w="75" w:type="dxa"/>
              <w:right w:w="75" w:type="dxa"/>
            </w:tcMar>
            <w:vAlign w:val="center"/>
          </w:tcPr>
          <w:p w14:paraId="2067CB65" w14:textId="77777777" w:rsidR="002B73B4" w:rsidRPr="007779ED" w:rsidRDefault="002B73B4" w:rsidP="00A95F7A">
            <w:pPr>
              <w:rPr>
                <w:color w:val="auto"/>
              </w:rPr>
            </w:pPr>
          </w:p>
        </w:tc>
      </w:tr>
      <w:tr w:rsidR="00D50278" w:rsidRPr="007779ED" w14:paraId="20EA1785" w14:textId="77777777">
        <w:tc>
          <w:tcPr>
            <w:tcW w:w="4855" w:type="dxa"/>
            <w:shd w:val="clear" w:color="auto" w:fill="FFFFFF"/>
            <w:noWrap/>
            <w:tcMar>
              <w:top w:w="75" w:type="dxa"/>
              <w:left w:w="75" w:type="dxa"/>
              <w:bottom w:w="75" w:type="dxa"/>
              <w:right w:w="75" w:type="dxa"/>
            </w:tcMar>
            <w:vAlign w:val="center"/>
          </w:tcPr>
          <w:p w14:paraId="1FF4E5E7" w14:textId="77777777" w:rsidR="002B73B4" w:rsidRPr="007779ED" w:rsidRDefault="002B73B4" w:rsidP="00A95F7A">
            <w:pPr>
              <w:rPr>
                <w:color w:val="auto"/>
              </w:rPr>
            </w:pPr>
          </w:p>
        </w:tc>
        <w:tc>
          <w:tcPr>
            <w:tcW w:w="4856" w:type="dxa"/>
            <w:shd w:val="clear" w:color="auto" w:fill="FFFFFF"/>
            <w:noWrap/>
            <w:tcMar>
              <w:top w:w="75" w:type="dxa"/>
              <w:left w:w="75" w:type="dxa"/>
              <w:bottom w:w="75" w:type="dxa"/>
              <w:right w:w="75" w:type="dxa"/>
            </w:tcMar>
            <w:vAlign w:val="center"/>
          </w:tcPr>
          <w:p w14:paraId="11249EF2" w14:textId="77777777" w:rsidR="002B73B4" w:rsidRPr="007779ED" w:rsidRDefault="000F3313" w:rsidP="00A95F7A">
            <w:pPr>
              <w:rPr>
                <w:color w:val="auto"/>
              </w:rPr>
            </w:pPr>
            <w:r w:rsidRPr="007779ED">
              <w:rPr>
                <w:color w:val="auto"/>
              </w:rPr>
              <w:t>(</w:t>
            </w:r>
            <w:proofErr w:type="spellStart"/>
            <w:r w:rsidRPr="007779ED">
              <w:rPr>
                <w:color w:val="auto"/>
              </w:rPr>
              <w:t>dd.mm.gggg</w:t>
            </w:r>
            <w:proofErr w:type="spellEnd"/>
            <w:r w:rsidRPr="007779ED">
              <w:rPr>
                <w:color w:val="auto"/>
              </w:rPr>
              <w:t>)</w:t>
            </w:r>
          </w:p>
        </w:tc>
        <w:tc>
          <w:tcPr>
            <w:tcW w:w="4856" w:type="dxa"/>
            <w:shd w:val="clear" w:color="auto" w:fill="FFFFFF"/>
            <w:noWrap/>
            <w:tcMar>
              <w:top w:w="75" w:type="dxa"/>
              <w:left w:w="75" w:type="dxa"/>
              <w:bottom w:w="75" w:type="dxa"/>
              <w:right w:w="75" w:type="dxa"/>
            </w:tcMar>
            <w:vAlign w:val="center"/>
          </w:tcPr>
          <w:p w14:paraId="44F25D17" w14:textId="77777777" w:rsidR="002B73B4" w:rsidRPr="007779ED" w:rsidRDefault="002B73B4" w:rsidP="00A95F7A">
            <w:pPr>
              <w:rPr>
                <w:color w:val="auto"/>
              </w:rPr>
            </w:pPr>
          </w:p>
        </w:tc>
      </w:tr>
      <w:tr w:rsidR="00D50278" w:rsidRPr="007779ED" w14:paraId="6AB0CEF4" w14:textId="77777777">
        <w:tc>
          <w:tcPr>
            <w:tcW w:w="4855" w:type="dxa"/>
            <w:shd w:val="clear" w:color="auto" w:fill="FFFFFF"/>
            <w:noWrap/>
            <w:tcMar>
              <w:top w:w="75" w:type="dxa"/>
              <w:left w:w="75" w:type="dxa"/>
              <w:bottom w:w="75" w:type="dxa"/>
              <w:right w:w="75" w:type="dxa"/>
            </w:tcMar>
            <w:vAlign w:val="center"/>
          </w:tcPr>
          <w:p w14:paraId="4F950CD4" w14:textId="77777777" w:rsidR="002B73B4" w:rsidRPr="007779ED" w:rsidRDefault="000F3313" w:rsidP="00A95F7A">
            <w:pPr>
              <w:rPr>
                <w:color w:val="auto"/>
              </w:rPr>
            </w:pPr>
            <w:r w:rsidRPr="007779ED">
              <w:rPr>
                <w:color w:val="auto"/>
              </w:rPr>
              <w:t>Atbildīgā persona</w:t>
            </w:r>
          </w:p>
        </w:tc>
        <w:tc>
          <w:tcPr>
            <w:tcW w:w="4856" w:type="dxa"/>
            <w:shd w:val="clear" w:color="auto" w:fill="FFFFFF"/>
            <w:noWrap/>
            <w:tcMar>
              <w:top w:w="75" w:type="dxa"/>
              <w:left w:w="75" w:type="dxa"/>
              <w:bottom w:w="75" w:type="dxa"/>
              <w:right w:w="75" w:type="dxa"/>
            </w:tcMar>
            <w:vAlign w:val="center"/>
          </w:tcPr>
          <w:p w14:paraId="2419EDBF" w14:textId="77777777" w:rsidR="002B73B4" w:rsidRPr="007779ED" w:rsidRDefault="002B73B4" w:rsidP="00A95F7A">
            <w:pPr>
              <w:pBdr>
                <w:bottom w:val="single" w:sz="10" w:space="1" w:color="000000"/>
              </w:pBdr>
              <w:rPr>
                <w:color w:val="auto"/>
              </w:rPr>
            </w:pPr>
          </w:p>
        </w:tc>
        <w:tc>
          <w:tcPr>
            <w:tcW w:w="4856" w:type="dxa"/>
            <w:shd w:val="clear" w:color="auto" w:fill="FFFFFF"/>
            <w:noWrap/>
            <w:tcMar>
              <w:top w:w="75" w:type="dxa"/>
              <w:left w:w="75" w:type="dxa"/>
              <w:bottom w:w="75" w:type="dxa"/>
              <w:right w:w="75" w:type="dxa"/>
            </w:tcMar>
            <w:vAlign w:val="center"/>
          </w:tcPr>
          <w:p w14:paraId="11C26BDE" w14:textId="77777777" w:rsidR="002B73B4" w:rsidRPr="007779ED" w:rsidRDefault="002B73B4" w:rsidP="00A95F7A">
            <w:pPr>
              <w:rPr>
                <w:color w:val="auto"/>
              </w:rPr>
            </w:pPr>
          </w:p>
        </w:tc>
      </w:tr>
      <w:tr w:rsidR="00D50278" w:rsidRPr="007779ED" w14:paraId="02C61C9B" w14:textId="77777777">
        <w:tc>
          <w:tcPr>
            <w:tcW w:w="4855" w:type="dxa"/>
            <w:shd w:val="clear" w:color="auto" w:fill="FFFFFF"/>
            <w:noWrap/>
            <w:tcMar>
              <w:top w:w="75" w:type="dxa"/>
              <w:left w:w="75" w:type="dxa"/>
              <w:bottom w:w="75" w:type="dxa"/>
              <w:right w:w="75" w:type="dxa"/>
            </w:tcMar>
            <w:vAlign w:val="center"/>
          </w:tcPr>
          <w:p w14:paraId="1C006665" w14:textId="77777777" w:rsidR="002B73B4" w:rsidRPr="007779ED" w:rsidRDefault="002B73B4" w:rsidP="00A95F7A">
            <w:pPr>
              <w:rPr>
                <w:color w:val="auto"/>
              </w:rPr>
            </w:pPr>
          </w:p>
        </w:tc>
        <w:tc>
          <w:tcPr>
            <w:tcW w:w="4856" w:type="dxa"/>
            <w:shd w:val="clear" w:color="auto" w:fill="FFFFFF"/>
            <w:noWrap/>
            <w:tcMar>
              <w:top w:w="75" w:type="dxa"/>
              <w:left w:w="75" w:type="dxa"/>
              <w:bottom w:w="75" w:type="dxa"/>
              <w:right w:w="75" w:type="dxa"/>
            </w:tcMar>
            <w:vAlign w:val="center"/>
          </w:tcPr>
          <w:p w14:paraId="5664FEEA" w14:textId="77777777" w:rsidR="002B73B4" w:rsidRPr="007779ED" w:rsidRDefault="000F3313" w:rsidP="00A95F7A">
            <w:pPr>
              <w:rPr>
                <w:color w:val="auto"/>
              </w:rPr>
            </w:pPr>
            <w:r w:rsidRPr="007779ED">
              <w:rPr>
                <w:color w:val="auto"/>
              </w:rPr>
              <w:t>(vārds, uzvārds, paraksts**)</w:t>
            </w:r>
          </w:p>
        </w:tc>
        <w:tc>
          <w:tcPr>
            <w:tcW w:w="4856" w:type="dxa"/>
            <w:shd w:val="clear" w:color="auto" w:fill="FFFFFF"/>
            <w:noWrap/>
            <w:tcMar>
              <w:top w:w="75" w:type="dxa"/>
              <w:left w:w="75" w:type="dxa"/>
              <w:bottom w:w="75" w:type="dxa"/>
              <w:right w:w="75" w:type="dxa"/>
            </w:tcMar>
            <w:vAlign w:val="center"/>
          </w:tcPr>
          <w:p w14:paraId="7B94491F" w14:textId="77777777" w:rsidR="002B73B4" w:rsidRPr="007779ED" w:rsidRDefault="002B73B4" w:rsidP="00A95F7A">
            <w:pPr>
              <w:rPr>
                <w:color w:val="auto"/>
              </w:rPr>
            </w:pPr>
          </w:p>
        </w:tc>
      </w:tr>
    </w:tbl>
    <w:p w14:paraId="054420FB" w14:textId="77777777" w:rsidR="002B73B4" w:rsidRPr="007779ED" w:rsidRDefault="002B73B4" w:rsidP="00A95F7A">
      <w:pPr>
        <w:rPr>
          <w:color w:val="auto"/>
        </w:rPr>
      </w:pPr>
    </w:p>
    <w:p w14:paraId="21B1F948" w14:textId="77777777" w:rsidR="002B73B4" w:rsidRPr="007779ED" w:rsidRDefault="000F3313" w:rsidP="00A95F7A">
      <w:pPr>
        <w:rPr>
          <w:color w:val="auto"/>
        </w:rPr>
      </w:pPr>
      <w:r w:rsidRPr="007779ED">
        <w:rPr>
          <w:color w:val="auto"/>
        </w:rPr>
        <w:t>Piezīmes.</w:t>
      </w:r>
    </w:p>
    <w:p w14:paraId="43B4FD30" w14:textId="77777777" w:rsidR="002B73B4" w:rsidRPr="007779ED" w:rsidRDefault="000F3313" w:rsidP="00A95F7A">
      <w:pPr>
        <w:rPr>
          <w:color w:val="auto"/>
        </w:rPr>
      </w:pPr>
      <w:r w:rsidRPr="007779ED">
        <w:rPr>
          <w:color w:val="auto"/>
        </w:rPr>
        <w:lastRenderedPageBreak/>
        <w:t>* Iesniedzējs (fiziskai personai – vārds, uzvārds, juridiskai personai – nosaukums) var tikt publiskots, ja viņš tam ir piekritis. Ja attiecināms, iesniedzējs norāda interešu pārstāvja reģistrācijas numuru.</w:t>
      </w:r>
    </w:p>
    <w:p w14:paraId="1161F451" w14:textId="77777777" w:rsidR="002B73B4" w:rsidRPr="007779ED" w:rsidRDefault="000F3313" w:rsidP="00A95F7A">
      <w:pPr>
        <w:rPr>
          <w:color w:val="auto"/>
        </w:rPr>
      </w:pPr>
      <w:r w:rsidRPr="007779ED">
        <w:rPr>
          <w:color w:val="auto"/>
        </w:rPr>
        <w:t>** Dokumenta rekvizītus "datums" un "paraksts" neaizpilda, ja elektroniskais dokuments ir sagatavots atbilstoši normatīvajiem aktiem par elektronisko dokumentu noformēšanu.</w:t>
      </w:r>
    </w:p>
    <w:sectPr w:rsidR="002B73B4" w:rsidRPr="007779ED">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4DE22" w14:textId="77777777" w:rsidR="00BD1C59" w:rsidRDefault="00BD1C59">
      <w:r>
        <w:separator/>
      </w:r>
    </w:p>
  </w:endnote>
  <w:endnote w:type="continuationSeparator" w:id="0">
    <w:p w14:paraId="1097EC87" w14:textId="77777777" w:rsidR="00BD1C59" w:rsidRDefault="00BD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26D1" w14:textId="77777777" w:rsidR="002B73B4" w:rsidRDefault="000F3313">
    <w:pPr>
      <w:jc w:val="right"/>
    </w:pPr>
    <w:r>
      <w:rPr>
        <w:sz w:val="24"/>
        <w:szCs w:val="24"/>
      </w:rPr>
      <w:fldChar w:fldCharType="begin"/>
    </w:r>
    <w:r>
      <w:rPr>
        <w:sz w:val="24"/>
        <w:szCs w:val="24"/>
      </w:rPr>
      <w:instrText>PAGE</w:instrText>
    </w:r>
    <w:r>
      <w:rPr>
        <w:sz w:val="24"/>
        <w:szCs w:val="24"/>
      </w:rPr>
      <w:fldChar w:fldCharType="separate"/>
    </w:r>
    <w:r w:rsidR="00F65578">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5B925" w14:textId="77777777" w:rsidR="005C7657" w:rsidRDefault="000F3313">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7EE19" w14:textId="77777777" w:rsidR="00BD1C59" w:rsidRDefault="00BD1C59">
      <w:r>
        <w:separator/>
      </w:r>
    </w:p>
  </w:footnote>
  <w:footnote w:type="continuationSeparator" w:id="0">
    <w:p w14:paraId="05EA7626" w14:textId="77777777" w:rsidR="00BD1C59" w:rsidRDefault="00BD1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06F23" w14:textId="77777777" w:rsidR="002B73B4" w:rsidRDefault="000F3313">
    <w:pPr>
      <w:pStyle w:val="Galvene"/>
      <w:contextualSpacing w:val="0"/>
    </w:pPr>
    <w:r>
      <w:t>Viedokļu pārskats 25-TA-2022</w:t>
    </w:r>
    <w:r>
      <w:br/>
      <w:t>Izdrukāts 25.11.2025. 16.20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37C61" w14:textId="77777777" w:rsidR="002B73B4" w:rsidRDefault="000F3313">
    <w:pPr>
      <w:pStyle w:val="Galvene"/>
      <w:contextualSpacing w:val="0"/>
    </w:pPr>
    <w:r>
      <w:t>Viedokļu pārskats 25-TA-2022</w:t>
    </w:r>
    <w:r>
      <w:br/>
      <w:t>Izdrukāts 25.11.2025. 16.20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3B4"/>
    <w:rsid w:val="000553D3"/>
    <w:rsid w:val="00066B88"/>
    <w:rsid w:val="000736D0"/>
    <w:rsid w:val="00076372"/>
    <w:rsid w:val="000D3F38"/>
    <w:rsid w:val="000F3313"/>
    <w:rsid w:val="00173C6E"/>
    <w:rsid w:val="001B43BA"/>
    <w:rsid w:val="001D7222"/>
    <w:rsid w:val="00272992"/>
    <w:rsid w:val="002756C9"/>
    <w:rsid w:val="002B73B4"/>
    <w:rsid w:val="002C1541"/>
    <w:rsid w:val="002F60F6"/>
    <w:rsid w:val="00397E44"/>
    <w:rsid w:val="003A10C2"/>
    <w:rsid w:val="003B73F7"/>
    <w:rsid w:val="0042144C"/>
    <w:rsid w:val="00474909"/>
    <w:rsid w:val="00536FC6"/>
    <w:rsid w:val="00592432"/>
    <w:rsid w:val="005950CF"/>
    <w:rsid w:val="005B1AB8"/>
    <w:rsid w:val="005B3CBE"/>
    <w:rsid w:val="005C03BA"/>
    <w:rsid w:val="005C2F6F"/>
    <w:rsid w:val="005C6620"/>
    <w:rsid w:val="005C7657"/>
    <w:rsid w:val="005F53E3"/>
    <w:rsid w:val="00623E43"/>
    <w:rsid w:val="006B7C25"/>
    <w:rsid w:val="00704306"/>
    <w:rsid w:val="00727361"/>
    <w:rsid w:val="007415AF"/>
    <w:rsid w:val="0074199F"/>
    <w:rsid w:val="007521B9"/>
    <w:rsid w:val="007779ED"/>
    <w:rsid w:val="00856A71"/>
    <w:rsid w:val="009430ED"/>
    <w:rsid w:val="009F12E6"/>
    <w:rsid w:val="009F51CA"/>
    <w:rsid w:val="00A06FB2"/>
    <w:rsid w:val="00A619BD"/>
    <w:rsid w:val="00A95F7A"/>
    <w:rsid w:val="00B2677F"/>
    <w:rsid w:val="00B345AF"/>
    <w:rsid w:val="00B3733B"/>
    <w:rsid w:val="00BC7012"/>
    <w:rsid w:val="00BD1C59"/>
    <w:rsid w:val="00C073FE"/>
    <w:rsid w:val="00C14C69"/>
    <w:rsid w:val="00C31531"/>
    <w:rsid w:val="00C31872"/>
    <w:rsid w:val="00C32663"/>
    <w:rsid w:val="00C604AB"/>
    <w:rsid w:val="00C713B7"/>
    <w:rsid w:val="00C92CC5"/>
    <w:rsid w:val="00CA715B"/>
    <w:rsid w:val="00CF0354"/>
    <w:rsid w:val="00D50278"/>
    <w:rsid w:val="00D75B26"/>
    <w:rsid w:val="00D921DC"/>
    <w:rsid w:val="00DA3163"/>
    <w:rsid w:val="00DF79DE"/>
    <w:rsid w:val="00E04A6E"/>
    <w:rsid w:val="00E372BF"/>
    <w:rsid w:val="00E44809"/>
    <w:rsid w:val="00E56EE0"/>
    <w:rsid w:val="00E70D3C"/>
    <w:rsid w:val="00EF0AF5"/>
    <w:rsid w:val="00EF5E94"/>
    <w:rsid w:val="00F43524"/>
    <w:rsid w:val="00F65578"/>
    <w:rsid w:val="00FA3F86"/>
    <w:rsid w:val="00FA7C59"/>
    <w:rsid w:val="00FB2F32"/>
    <w:rsid w:val="00FC249C"/>
    <w:rsid w:val="00FD6D6D"/>
    <w:rsid w:val="00FE1738"/>
    <w:rsid w:val="00FF0BE5"/>
    <w:rsid w:val="00FF67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1182"/>
  <w15:docId w15:val="{EF693A9F-9B51-4464-B2D0-8A805F8B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Parastatabula"/>
    <w:tblPr>
      <w:tblStyleRowBandSize w:val="1"/>
      <w:tblStyleColBandSize w:val="1"/>
    </w:tblPr>
  </w:style>
  <w:style w:type="paragraph" w:styleId="Vresteksts">
    <w:name w:val="footnote text"/>
    <w:basedOn w:val="Parasts"/>
    <w:link w:val="VrestekstsRakstz"/>
    <w:uiPriority w:val="99"/>
    <w:semiHidden/>
    <w:unhideWhenUsed/>
    <w:rsid w:val="00397E44"/>
    <w:pPr>
      <w:jc w:val="left"/>
    </w:pPr>
    <w:rPr>
      <w:rFonts w:ascii="Calibri" w:eastAsia="Calibri" w:hAnsi="Calibri"/>
      <w:color w:val="auto"/>
      <w:sz w:val="20"/>
      <w:lang w:eastAsia="en-US"/>
    </w:rPr>
  </w:style>
  <w:style w:type="character" w:customStyle="1" w:styleId="VrestekstsRakstz">
    <w:name w:val="Vēres teksts Rakstz."/>
    <w:basedOn w:val="Noklusjumarindkopasfonts"/>
    <w:link w:val="Vresteksts"/>
    <w:uiPriority w:val="99"/>
    <w:semiHidden/>
    <w:rsid w:val="00397E44"/>
    <w:rPr>
      <w:rFonts w:ascii="Calibri" w:eastAsia="Calibri" w:hAnsi="Calibri"/>
      <w:color w:val="auto"/>
      <w:sz w:val="20"/>
      <w:lang w:eastAsia="en-US"/>
    </w:rPr>
  </w:style>
  <w:style w:type="character" w:styleId="Komentraatsauce">
    <w:name w:val="annotation reference"/>
    <w:basedOn w:val="Noklusjumarindkopasfonts"/>
    <w:uiPriority w:val="99"/>
    <w:semiHidden/>
    <w:unhideWhenUsed/>
    <w:rsid w:val="00E44809"/>
    <w:rPr>
      <w:sz w:val="16"/>
      <w:szCs w:val="16"/>
    </w:rPr>
  </w:style>
  <w:style w:type="paragraph" w:styleId="Komentrateksts">
    <w:name w:val="annotation text"/>
    <w:basedOn w:val="Parasts"/>
    <w:link w:val="KomentratekstsRakstz"/>
    <w:uiPriority w:val="99"/>
    <w:semiHidden/>
    <w:unhideWhenUsed/>
    <w:rsid w:val="00E44809"/>
    <w:rPr>
      <w:sz w:val="20"/>
    </w:rPr>
  </w:style>
  <w:style w:type="character" w:customStyle="1" w:styleId="KomentratekstsRakstz">
    <w:name w:val="Komentāra teksts Rakstz."/>
    <w:basedOn w:val="Noklusjumarindkopasfonts"/>
    <w:link w:val="Komentrateksts"/>
    <w:uiPriority w:val="99"/>
    <w:semiHidden/>
    <w:rsid w:val="00E44809"/>
    <w:rPr>
      <w:sz w:val="20"/>
    </w:rPr>
  </w:style>
  <w:style w:type="paragraph" w:styleId="Komentratma">
    <w:name w:val="annotation subject"/>
    <w:basedOn w:val="Komentrateksts"/>
    <w:next w:val="Komentrateksts"/>
    <w:link w:val="KomentratmaRakstz"/>
    <w:uiPriority w:val="99"/>
    <w:semiHidden/>
    <w:unhideWhenUsed/>
    <w:rsid w:val="00E44809"/>
    <w:rPr>
      <w:b/>
      <w:bCs/>
    </w:rPr>
  </w:style>
  <w:style w:type="character" w:customStyle="1" w:styleId="KomentratmaRakstz">
    <w:name w:val="Komentāra tēma Rakstz."/>
    <w:basedOn w:val="KomentratekstsRakstz"/>
    <w:link w:val="Komentratma"/>
    <w:uiPriority w:val="99"/>
    <w:semiHidden/>
    <w:rsid w:val="00E44809"/>
    <w:rPr>
      <w:b/>
      <w:bCs/>
      <w:sz w:val="20"/>
    </w:rPr>
  </w:style>
  <w:style w:type="paragraph" w:styleId="Balonteksts">
    <w:name w:val="Balloon Text"/>
    <w:basedOn w:val="Parasts"/>
    <w:link w:val="BalontekstsRakstz"/>
    <w:uiPriority w:val="99"/>
    <w:semiHidden/>
    <w:unhideWhenUsed/>
    <w:rsid w:val="00FC249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24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590287">
      <w:bodyDiv w:val="1"/>
      <w:marLeft w:val="0"/>
      <w:marRight w:val="0"/>
      <w:marTop w:val="0"/>
      <w:marBottom w:val="0"/>
      <w:divBdr>
        <w:top w:val="none" w:sz="0" w:space="0" w:color="auto"/>
        <w:left w:val="none" w:sz="0" w:space="0" w:color="auto"/>
        <w:bottom w:val="none" w:sz="0" w:space="0" w:color="auto"/>
        <w:right w:val="none" w:sz="0" w:space="0" w:color="auto"/>
      </w:divBdr>
      <w:divsChild>
        <w:div w:id="1061830034">
          <w:marLeft w:val="0"/>
          <w:marRight w:val="0"/>
          <w:marTop w:val="0"/>
          <w:marBottom w:val="0"/>
          <w:divBdr>
            <w:top w:val="none" w:sz="0" w:space="0" w:color="auto"/>
            <w:left w:val="none" w:sz="0" w:space="0" w:color="auto"/>
            <w:bottom w:val="none" w:sz="0" w:space="0" w:color="auto"/>
            <w:right w:val="none" w:sz="0" w:space="0" w:color="auto"/>
          </w:divBdr>
        </w:div>
        <w:div w:id="35627755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10915</Words>
  <Characters>6222</Characters>
  <Application>Microsoft Office Word</Application>
  <DocSecurity>0</DocSecurity>
  <Lines>51</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viedoklu_parskats_25-TA-2022.docx</vt:lpstr>
      <vt:lpstr>viedoklu_parskats_25-TA-2022.docx</vt:lpstr>
    </vt:vector>
  </TitlesOfParts>
  <Company/>
  <LinksUpToDate>false</LinksUpToDate>
  <CharactersWithSpaces>17103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viedoklu_parskats_25-TA-2022.docx</dc:title>
  <dc:creator>Alīna Klimone</dc:creator>
  <cp:lastModifiedBy>Jana Appena</cp:lastModifiedBy>
  <cp:revision>3</cp:revision>
  <dcterms:created xsi:type="dcterms:W3CDTF">2025-12-10T10:01:00Z</dcterms:created>
  <dcterms:modified xsi:type="dcterms:W3CDTF">2025-12-10T10:07:00Z</dcterms:modified>
</cp:coreProperties>
</file>