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E7D9AE" w14:textId="77777777" w:rsidR="009915E9" w:rsidRPr="00B51883" w:rsidRDefault="00FC7BA9">
      <w:pPr>
        <w:spacing w:after="240"/>
        <w:jc w:val="center"/>
        <w:rPr>
          <w:b/>
        </w:rPr>
      </w:pPr>
      <w:r w:rsidRPr="00B51883">
        <w:rPr>
          <w:b/>
        </w:rPr>
        <w:t>“Publiskās apspriešanas laikā 27.12.2024. - 26.01.2025. saņemto viedokļu, priekšlikumu un iebildumu apkopojums par Informācijas sistēmu izvietošanas un datu centru drošības prasības”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915E9" w:rsidRPr="00B51883" w14:paraId="387CF79B" w14:textId="77777777">
        <w:tc>
          <w:tcPr>
            <w:tcW w:w="750" w:type="dxa"/>
            <w:shd w:val="clear" w:color="auto" w:fill="FFFFFF"/>
            <w:noWrap/>
            <w:tcMar>
              <w:top w:w="75" w:type="dxa"/>
              <w:left w:w="75" w:type="dxa"/>
              <w:bottom w:w="75" w:type="dxa"/>
              <w:right w:w="75" w:type="dxa"/>
            </w:tcMar>
            <w:vAlign w:val="center"/>
          </w:tcPr>
          <w:p w14:paraId="4596DB3A" w14:textId="77777777" w:rsidR="009915E9" w:rsidRPr="00B51883" w:rsidRDefault="00FC7BA9">
            <w:pPr>
              <w:jc w:val="center"/>
            </w:pPr>
            <w:r w:rsidRPr="00B51883">
              <w:rPr>
                <w:b/>
              </w:rPr>
              <w:t>Nr.p.k.</w:t>
            </w:r>
          </w:p>
        </w:tc>
        <w:tc>
          <w:tcPr>
            <w:tcW w:w="4055" w:type="dxa"/>
            <w:shd w:val="clear" w:color="auto" w:fill="FFFFFF"/>
            <w:noWrap/>
            <w:tcMar>
              <w:top w:w="75" w:type="dxa"/>
              <w:left w:w="75" w:type="dxa"/>
              <w:bottom w:w="75" w:type="dxa"/>
              <w:right w:w="75" w:type="dxa"/>
            </w:tcMar>
            <w:vAlign w:val="center"/>
          </w:tcPr>
          <w:p w14:paraId="476512F1" w14:textId="77777777" w:rsidR="009915E9" w:rsidRPr="00B51883" w:rsidRDefault="00FC7BA9">
            <w:pPr>
              <w:jc w:val="center"/>
            </w:pPr>
            <w:r w:rsidRPr="00B51883">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B947D59" w14:textId="77777777" w:rsidR="009915E9" w:rsidRPr="00B51883" w:rsidRDefault="00FC7BA9">
            <w:pPr>
              <w:jc w:val="center"/>
            </w:pPr>
            <w:r w:rsidRPr="00B51883">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A9971FB" w14:textId="77777777" w:rsidR="009915E9" w:rsidRPr="00B51883" w:rsidRDefault="00FC7BA9">
            <w:pPr>
              <w:jc w:val="center"/>
            </w:pPr>
            <w:r w:rsidRPr="00B51883">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BB6A24B" w14:textId="77777777" w:rsidR="009915E9" w:rsidRPr="00B51883" w:rsidRDefault="00FC7BA9">
            <w:pPr>
              <w:jc w:val="center"/>
            </w:pPr>
            <w:r w:rsidRPr="00B51883">
              <w:rPr>
                <w:b/>
              </w:rPr>
              <w:t>Skaidrojums, kādā veidā viedoklis / priekšlikums / iebildums ir ņemts vērā vai ņemts vērā daļēji, vai pamatojums, ja viedoklis / priekšlikums / iebildums nav ņemts vērā</w:t>
            </w:r>
          </w:p>
        </w:tc>
      </w:tr>
      <w:tr w:rsidR="009915E9" w:rsidRPr="00B51883" w14:paraId="5063C0D5" w14:textId="77777777">
        <w:tc>
          <w:tcPr>
            <w:tcW w:w="750" w:type="dxa"/>
            <w:shd w:val="clear" w:color="auto" w:fill="FFFFFF"/>
            <w:noWrap/>
            <w:tcMar>
              <w:top w:w="75" w:type="dxa"/>
              <w:left w:w="75" w:type="dxa"/>
              <w:bottom w:w="75" w:type="dxa"/>
              <w:right w:w="75" w:type="dxa"/>
            </w:tcMar>
            <w:vAlign w:val="center"/>
          </w:tcPr>
          <w:p w14:paraId="2D33BF6A" w14:textId="77777777" w:rsidR="009915E9" w:rsidRPr="00B51883" w:rsidRDefault="00FC7BA9">
            <w:pPr>
              <w:jc w:val="center"/>
            </w:pPr>
            <w:r w:rsidRPr="00B51883">
              <w:t>1.</w:t>
            </w:r>
          </w:p>
        </w:tc>
        <w:tc>
          <w:tcPr>
            <w:tcW w:w="4055" w:type="dxa"/>
            <w:shd w:val="clear" w:color="auto" w:fill="FFFFFF"/>
            <w:noWrap/>
            <w:tcMar>
              <w:top w:w="75" w:type="dxa"/>
              <w:left w:w="75" w:type="dxa"/>
              <w:bottom w:w="75" w:type="dxa"/>
              <w:right w:w="75" w:type="dxa"/>
            </w:tcMar>
            <w:vAlign w:val="center"/>
          </w:tcPr>
          <w:p w14:paraId="354311A3" w14:textId="77777777" w:rsidR="009915E9" w:rsidRPr="00B51883" w:rsidRDefault="00FC7BA9">
            <w:pPr>
              <w:jc w:val="left"/>
            </w:pPr>
            <w:r w:rsidRPr="00B51883">
              <w:t>Fiziska persona</w:t>
            </w:r>
          </w:p>
        </w:tc>
        <w:tc>
          <w:tcPr>
            <w:tcW w:w="4056" w:type="dxa"/>
            <w:shd w:val="clear" w:color="auto" w:fill="FFFFFF"/>
            <w:noWrap/>
            <w:tcMar>
              <w:top w:w="75" w:type="dxa"/>
              <w:left w:w="75" w:type="dxa"/>
              <w:bottom w:w="75" w:type="dxa"/>
              <w:right w:w="75" w:type="dxa"/>
            </w:tcMar>
            <w:vAlign w:val="center"/>
          </w:tcPr>
          <w:p w14:paraId="690862AB" w14:textId="77777777" w:rsidR="009915E9" w:rsidRPr="00B51883" w:rsidRDefault="00FC7BA9">
            <w:pPr>
              <w:jc w:val="left"/>
            </w:pPr>
            <w:r w:rsidRPr="00B51883">
              <w:t>Pret</w:t>
            </w:r>
            <w:r w:rsidRPr="00B51883">
              <w:br/>
            </w:r>
          </w:p>
        </w:tc>
        <w:tc>
          <w:tcPr>
            <w:tcW w:w="1650" w:type="dxa"/>
            <w:shd w:val="clear" w:color="auto" w:fill="FFFFFF"/>
            <w:noWrap/>
            <w:tcMar>
              <w:top w:w="75" w:type="dxa"/>
              <w:left w:w="75" w:type="dxa"/>
              <w:bottom w:w="75" w:type="dxa"/>
              <w:right w:w="75" w:type="dxa"/>
            </w:tcMar>
            <w:vAlign w:val="center"/>
          </w:tcPr>
          <w:p w14:paraId="3CF9DDC7" w14:textId="77777777" w:rsidR="00705969" w:rsidRPr="00B51883" w:rsidRDefault="00705969" w:rsidP="00705969">
            <w:pPr>
              <w:jc w:val="left"/>
            </w:pPr>
            <w:r w:rsidRPr="00B51883">
              <w:t>Nav ņemts vērā</w:t>
            </w:r>
          </w:p>
          <w:p w14:paraId="01BE2CC4" w14:textId="77777777" w:rsidR="009915E9" w:rsidRPr="00B51883" w:rsidRDefault="009915E9">
            <w:pPr>
              <w:jc w:val="left"/>
            </w:pPr>
          </w:p>
        </w:tc>
        <w:tc>
          <w:tcPr>
            <w:tcW w:w="4056" w:type="dxa"/>
            <w:shd w:val="clear" w:color="auto" w:fill="FFFFFF"/>
            <w:noWrap/>
            <w:tcMar>
              <w:top w:w="75" w:type="dxa"/>
              <w:left w:w="75" w:type="dxa"/>
              <w:bottom w:w="75" w:type="dxa"/>
              <w:right w:w="75" w:type="dxa"/>
            </w:tcMar>
            <w:vAlign w:val="center"/>
          </w:tcPr>
          <w:p w14:paraId="77C80B3B" w14:textId="1F3AA7DC" w:rsidR="009915E9" w:rsidRPr="00B51883" w:rsidRDefault="00705969">
            <w:pPr>
              <w:jc w:val="left"/>
            </w:pPr>
            <w:r w:rsidRPr="00B51883">
              <w:t xml:space="preserve">Noteikumu projekts izstrādāts saskaņā ar Nacionālās kiberdrošības likumu, un tajā noteiktais deleģējums un principi </w:t>
            </w:r>
            <w:r w:rsidR="009832B4" w:rsidRPr="00B51883">
              <w:t>iekļauti un precizēti</w:t>
            </w:r>
            <w:r w:rsidRPr="00B51883">
              <w:t>.</w:t>
            </w:r>
          </w:p>
        </w:tc>
      </w:tr>
      <w:tr w:rsidR="006E22FB" w:rsidRPr="00B51883" w14:paraId="3D188067" w14:textId="77777777">
        <w:tc>
          <w:tcPr>
            <w:tcW w:w="750" w:type="dxa"/>
            <w:vMerge w:val="restart"/>
            <w:shd w:val="clear" w:color="auto" w:fill="FFFFFF"/>
            <w:noWrap/>
            <w:tcMar>
              <w:top w:w="75" w:type="dxa"/>
              <w:left w:w="75" w:type="dxa"/>
              <w:bottom w:w="75" w:type="dxa"/>
              <w:right w:w="75" w:type="dxa"/>
            </w:tcMar>
            <w:vAlign w:val="center"/>
          </w:tcPr>
          <w:p w14:paraId="1DE9999A" w14:textId="77777777" w:rsidR="006E22FB" w:rsidRPr="00B51883" w:rsidRDefault="006E22FB">
            <w:pPr>
              <w:jc w:val="center"/>
            </w:pPr>
            <w:r w:rsidRPr="00B51883">
              <w:t>2.</w:t>
            </w:r>
          </w:p>
        </w:tc>
        <w:tc>
          <w:tcPr>
            <w:tcW w:w="4055" w:type="dxa"/>
            <w:vMerge w:val="restart"/>
            <w:shd w:val="clear" w:color="auto" w:fill="FFFFFF"/>
            <w:noWrap/>
            <w:tcMar>
              <w:top w:w="75" w:type="dxa"/>
              <w:left w:w="75" w:type="dxa"/>
              <w:bottom w:w="75" w:type="dxa"/>
              <w:right w:w="75" w:type="dxa"/>
            </w:tcMar>
            <w:vAlign w:val="center"/>
          </w:tcPr>
          <w:p w14:paraId="25B663D7" w14:textId="77777777" w:rsidR="006E22FB" w:rsidRPr="00B51883" w:rsidRDefault="006E22FB">
            <w:pPr>
              <w:jc w:val="left"/>
            </w:pPr>
            <w:r w:rsidRPr="00B51883">
              <w:t>Biedrība "Latvijas Informācijas un komunikācijas tehnoloģijas asociācija"</w:t>
            </w:r>
          </w:p>
        </w:tc>
        <w:tc>
          <w:tcPr>
            <w:tcW w:w="4056" w:type="dxa"/>
            <w:shd w:val="clear" w:color="auto" w:fill="FFFFFF"/>
            <w:noWrap/>
            <w:tcMar>
              <w:top w:w="75" w:type="dxa"/>
              <w:left w:w="75" w:type="dxa"/>
              <w:bottom w:w="75" w:type="dxa"/>
              <w:right w:w="75" w:type="dxa"/>
            </w:tcMar>
            <w:vAlign w:val="center"/>
          </w:tcPr>
          <w:p w14:paraId="6121001A" w14:textId="64698AD4" w:rsidR="006E22FB" w:rsidRPr="00B51883" w:rsidRDefault="006E22FB">
            <w:pPr>
              <w:jc w:val="left"/>
            </w:pPr>
            <w:r w:rsidRPr="00B51883">
              <w:t>Esam iepazinušies ar Ministru kabineta noteikumu projektu “Informācijas sistēmu izvietošanas un datu centru drošības prasības” (24-TA-3243) (turpmāk – Noteikumu projekts) un izsakām sekojošus iebildumus un priekšlikumus.</w:t>
            </w:r>
            <w:r w:rsidRPr="00B51883">
              <w:br/>
            </w:r>
            <w:r w:rsidRPr="00B51883">
              <w:br/>
              <w:t xml:space="preserve">1. Iebilstam pret Noteikumu projekta sadaļu  “Datu centru </w:t>
            </w:r>
            <w:r w:rsidRPr="00B51883">
              <w:lastRenderedPageBreak/>
              <w:t>atbilstības novērtēšanas, reģistrācijas un uzraudzības kārtība”.</w:t>
            </w:r>
            <w:r w:rsidRPr="00B51883">
              <w:br/>
            </w:r>
            <w:r w:rsidRPr="00B51883">
              <w:rPr>
                <w:b/>
              </w:rPr>
              <w:t>Pamatojums:</w:t>
            </w:r>
            <w:r w:rsidRPr="00B51883">
              <w:br/>
              <w:t>1. Noteikumu projektā nav izvirzītas nekādas prasības pret pašu datu centru operatoru, piemēram, ka operators nevar būt sankcionēts, ar nodokļu parādiem u.tml.</w:t>
            </w:r>
            <w:r w:rsidRPr="00B51883">
              <w:br/>
              <w:t>2. Ja A un B kategorijas valsts kritiskās informācijas sistēma izvietota datu centrā, kas atrodas ārpus LR teritorijas, tad LR teritorijā obligāti jāatrodas datu centrā izvietoto sistēmu un datu rezerves kopijai. Savukārt, ja A un B kategorijas valsts kritiskās informācijas sistēma izvietota datu centrā, kas atrodas LR teritorijā, tad datu centrā izvietoto sistēmu un datu rezerves kopijai jāatrodas obligāti arī ārpus LR teritorijas.</w:t>
            </w:r>
            <w:r w:rsidRPr="00B51883">
              <w:br/>
            </w:r>
            <w:r w:rsidRPr="00B51883">
              <w:rPr>
                <w:b/>
              </w:rPr>
              <w:t>Priekšlikums:</w:t>
            </w:r>
            <w:r w:rsidRPr="00B51883">
              <w:br/>
              <w:t>1. Papildināt sadaļu ar prasībām datu centra operatoram.</w:t>
            </w:r>
            <w:r w:rsidRPr="00B51883">
              <w:br/>
              <w:t xml:space="preserve">2. Papildināt sadaļu ar prasību datu centram / datu un sistēmas </w:t>
            </w:r>
            <w:r w:rsidRPr="00B51883">
              <w:lastRenderedPageBreak/>
              <w:t>rezerves kopijai atrasties LR teritorijā / ārpus LR teritorijas.</w:t>
            </w:r>
          </w:p>
        </w:tc>
        <w:tc>
          <w:tcPr>
            <w:tcW w:w="1650" w:type="dxa"/>
            <w:shd w:val="clear" w:color="auto" w:fill="FFFFFF"/>
            <w:noWrap/>
            <w:tcMar>
              <w:top w:w="75" w:type="dxa"/>
              <w:left w:w="75" w:type="dxa"/>
              <w:bottom w:w="75" w:type="dxa"/>
              <w:right w:w="75" w:type="dxa"/>
            </w:tcMar>
            <w:vAlign w:val="center"/>
          </w:tcPr>
          <w:p w14:paraId="4A0DCCD9" w14:textId="39EB254E" w:rsidR="006E22FB" w:rsidRPr="00B51883" w:rsidRDefault="006E22FB">
            <w:pPr>
              <w:jc w:val="left"/>
            </w:pPr>
            <w:r w:rsidRPr="00B51883">
              <w:lastRenderedPageBreak/>
              <w:t>Ņemts vērā daļēji</w:t>
            </w:r>
          </w:p>
        </w:tc>
        <w:tc>
          <w:tcPr>
            <w:tcW w:w="4056" w:type="dxa"/>
            <w:shd w:val="clear" w:color="auto" w:fill="FFFFFF"/>
            <w:noWrap/>
            <w:tcMar>
              <w:top w:w="75" w:type="dxa"/>
              <w:left w:w="75" w:type="dxa"/>
              <w:bottom w:w="75" w:type="dxa"/>
              <w:right w:w="75" w:type="dxa"/>
            </w:tcMar>
            <w:vAlign w:val="center"/>
          </w:tcPr>
          <w:p w14:paraId="7AC17A49" w14:textId="77777777" w:rsidR="006E22FB" w:rsidRPr="00B51883" w:rsidRDefault="006E22FB" w:rsidP="00250F4D">
            <w:pPr>
              <w:jc w:val="left"/>
            </w:pPr>
            <w:r w:rsidRPr="00B51883">
              <w:t>Precizēts Noteikumu projekta 4. punkts attiecībā uz Datu centra operatora definīciju, ņemot vērā Nacionālās kiberdrošības likuma tvērumu attiecībā uz subjektiem.</w:t>
            </w:r>
          </w:p>
          <w:p w14:paraId="6B7D383B" w14:textId="77777777" w:rsidR="006E22FB" w:rsidRPr="00B51883" w:rsidRDefault="006E22FB" w:rsidP="00250F4D">
            <w:pPr>
              <w:jc w:val="left"/>
            </w:pPr>
          </w:p>
          <w:p w14:paraId="3DE3170F" w14:textId="0D21D83D" w:rsidR="006E22FB" w:rsidRPr="00B51883" w:rsidRDefault="006E22FB" w:rsidP="00250F4D">
            <w:pPr>
              <w:jc w:val="left"/>
            </w:pPr>
            <w:r w:rsidRPr="00B51883">
              <w:t xml:space="preserve">Priekšlikums par to, ka operators nevar būt sankcionēts vai ar nodokļu parādiem, nav ņemts vērā, jo </w:t>
            </w:r>
            <w:r w:rsidR="00B51883" w:rsidRPr="00B51883">
              <w:t xml:space="preserve">Nacionālās kiberdrošības likums </w:t>
            </w:r>
            <w:r w:rsidRPr="00B51883">
              <w:t xml:space="preserve">šobrīd </w:t>
            </w:r>
            <w:r w:rsidR="00B51883" w:rsidRPr="00B51883">
              <w:t xml:space="preserve">nesatur deleģējumu </w:t>
            </w:r>
            <w:r w:rsidR="00B51883" w:rsidRPr="00B51883">
              <w:lastRenderedPageBreak/>
              <w:t>noteikt</w:t>
            </w:r>
            <w:r w:rsidRPr="00B51883">
              <w:t xml:space="preserve"> šādu ierobežojumu </w:t>
            </w:r>
            <w:r w:rsidR="00B51883" w:rsidRPr="00B51883">
              <w:t>šo</w:t>
            </w:r>
            <w:r w:rsidRPr="00B51883">
              <w:t xml:space="preserve"> noteikumu projekta ietvaros. Tomēr datu centra operatoru reģistrācija un uzraudzība tiek veikta Digitālās drošības uzraudzības komitejas ietvaros, kas ik pēc diviem gadiem pārskata Datu centru operatoru sniegto informāciju</w:t>
            </w:r>
          </w:p>
          <w:p w14:paraId="4BF87C61" w14:textId="566BEFF9" w:rsidR="006E22FB" w:rsidRPr="00B51883" w:rsidRDefault="006E22FB" w:rsidP="00250F4D">
            <w:pPr>
              <w:jc w:val="left"/>
            </w:pPr>
            <w:r w:rsidRPr="00B51883">
              <w:t xml:space="preserve">Papildus, ja datu centra operators sniedz pakalpojumu valsts institūcijai, tad uz to attiecas Publisko iepirkumu likuma prasības, kas paredz </w:t>
            </w:r>
            <w:r w:rsidR="00B51883" w:rsidRPr="00B51883">
              <w:t>atbilstošas</w:t>
            </w:r>
            <w:r w:rsidRPr="00B51883">
              <w:t xml:space="preserve"> prasības pretendentiem.</w:t>
            </w:r>
          </w:p>
          <w:p w14:paraId="16C87E97" w14:textId="77777777" w:rsidR="006E22FB" w:rsidRPr="00B51883" w:rsidRDefault="006E22FB" w:rsidP="00250F4D">
            <w:pPr>
              <w:jc w:val="left"/>
            </w:pPr>
          </w:p>
          <w:p w14:paraId="24AD292B" w14:textId="77777777" w:rsidR="006E22FB" w:rsidRPr="00B51883" w:rsidRDefault="006E22FB" w:rsidP="00250F4D">
            <w:pPr>
              <w:jc w:val="left"/>
            </w:pPr>
            <w:r w:rsidRPr="00B51883">
              <w:t>Priekšlikums par rezerves kopiju atrašanās prasību LR teritorijā / ārpus LR teritorijas nav iekļauts, jo tas pārsniedz šo noteikumu projekta deleģējumu.</w:t>
            </w:r>
          </w:p>
          <w:p w14:paraId="0E786DC9" w14:textId="0BC5845D" w:rsidR="006E22FB" w:rsidRPr="00B51883" w:rsidRDefault="006E22FB" w:rsidP="00250F4D">
            <w:pPr>
              <w:jc w:val="left"/>
            </w:pPr>
            <w:r w:rsidRPr="00B51883">
              <w:t>Šis jautājums attiecas uz informācijas sistēmu kiberdrošības prasībām, kas tiek regulētas atsevišķi Ministru kabineta noteikumos par Minimālajām kiberdrošības prasībām.</w:t>
            </w:r>
          </w:p>
        </w:tc>
      </w:tr>
      <w:tr w:rsidR="006E22FB" w:rsidRPr="00B51883" w14:paraId="746EB397" w14:textId="77777777">
        <w:tc>
          <w:tcPr>
            <w:tcW w:w="750" w:type="dxa"/>
            <w:vMerge/>
            <w:shd w:val="clear" w:color="auto" w:fill="FFFFFF"/>
            <w:noWrap/>
            <w:tcMar>
              <w:top w:w="75" w:type="dxa"/>
              <w:left w:w="75" w:type="dxa"/>
              <w:bottom w:w="75" w:type="dxa"/>
              <w:right w:w="75" w:type="dxa"/>
            </w:tcMar>
            <w:vAlign w:val="center"/>
          </w:tcPr>
          <w:p w14:paraId="755E5DBA" w14:textId="77777777" w:rsidR="006E22FB" w:rsidRPr="00B51883" w:rsidRDefault="006E22FB">
            <w:pPr>
              <w:jc w:val="center"/>
            </w:pPr>
          </w:p>
        </w:tc>
        <w:tc>
          <w:tcPr>
            <w:tcW w:w="4055" w:type="dxa"/>
            <w:vMerge/>
            <w:shd w:val="clear" w:color="auto" w:fill="FFFFFF"/>
            <w:noWrap/>
            <w:tcMar>
              <w:top w:w="75" w:type="dxa"/>
              <w:left w:w="75" w:type="dxa"/>
              <w:bottom w:w="75" w:type="dxa"/>
              <w:right w:w="75" w:type="dxa"/>
            </w:tcMar>
            <w:vAlign w:val="center"/>
          </w:tcPr>
          <w:p w14:paraId="403E8C26" w14:textId="77777777" w:rsidR="006E22FB" w:rsidRPr="00B51883" w:rsidRDefault="006E22FB">
            <w:pPr>
              <w:jc w:val="left"/>
            </w:pPr>
          </w:p>
        </w:tc>
        <w:tc>
          <w:tcPr>
            <w:tcW w:w="4056" w:type="dxa"/>
            <w:shd w:val="clear" w:color="auto" w:fill="FFFFFF"/>
            <w:noWrap/>
            <w:tcMar>
              <w:top w:w="75" w:type="dxa"/>
              <w:left w:w="75" w:type="dxa"/>
              <w:bottom w:w="75" w:type="dxa"/>
              <w:right w:w="75" w:type="dxa"/>
            </w:tcMar>
            <w:vAlign w:val="center"/>
          </w:tcPr>
          <w:p w14:paraId="3A937714" w14:textId="5D78639A" w:rsidR="006E22FB" w:rsidRPr="00B51883" w:rsidRDefault="006E22FB">
            <w:pPr>
              <w:jc w:val="left"/>
            </w:pPr>
            <w:r w:rsidRPr="00B51883">
              <w:t>2. Iebilstam pret Noteikumu projekta 5.2.apakšpunktu.</w:t>
            </w:r>
            <w:r w:rsidRPr="00B51883">
              <w:br/>
            </w:r>
            <w:r w:rsidRPr="00B51883">
              <w:rPr>
                <w:b/>
              </w:rPr>
              <w:t>Pamatojums:</w:t>
            </w:r>
            <w:r w:rsidRPr="00B51883">
              <w:br/>
              <w:t>Noteikumu projekta 5.2.apakšpunkts nosaka, ka datu centra operators darbības plānā iekļauj šādu sadaļu: nepārtrauktas darbības stratēģijas (datu dublēšana un atjaunošana, avārijas atkopšanās vietas).</w:t>
            </w:r>
            <w:r w:rsidRPr="00B51883">
              <w:br/>
              <w:t>Datu dublēšana un atjaunošana ir prasība, kas piemērojama IKT sistēmām, nevis datu centriem un tā būtu attiecināma IKT operatoriem, nevis datu centru operatoriem.</w:t>
            </w:r>
            <w:r w:rsidRPr="00B51883">
              <w:br/>
            </w:r>
            <w:r w:rsidRPr="00B51883">
              <w:rPr>
                <w:b/>
              </w:rPr>
              <w:t>Priekšlikums:</w:t>
            </w:r>
            <w:r w:rsidRPr="00B51883">
              <w:br/>
              <w:t>Svītrot Noteikumu projekta 5.2.apakšpunktu</w:t>
            </w:r>
          </w:p>
        </w:tc>
        <w:tc>
          <w:tcPr>
            <w:tcW w:w="1650" w:type="dxa"/>
            <w:shd w:val="clear" w:color="auto" w:fill="FFFFFF"/>
            <w:noWrap/>
            <w:tcMar>
              <w:top w:w="75" w:type="dxa"/>
              <w:left w:w="75" w:type="dxa"/>
              <w:bottom w:w="75" w:type="dxa"/>
              <w:right w:w="75" w:type="dxa"/>
            </w:tcMar>
            <w:vAlign w:val="center"/>
          </w:tcPr>
          <w:p w14:paraId="464C1BF9" w14:textId="459B17E5" w:rsidR="006E22FB" w:rsidRPr="00B51883" w:rsidRDefault="006E22FB">
            <w:pPr>
              <w:jc w:val="left"/>
              <w:rPr>
                <w:bCs/>
              </w:rPr>
            </w:pPr>
            <w:r w:rsidRPr="00B51883">
              <w:rPr>
                <w:bCs/>
              </w:rPr>
              <w:t>ņemts vērā daļēji</w:t>
            </w:r>
          </w:p>
        </w:tc>
        <w:tc>
          <w:tcPr>
            <w:tcW w:w="4056" w:type="dxa"/>
            <w:shd w:val="clear" w:color="auto" w:fill="FFFFFF"/>
            <w:noWrap/>
            <w:tcMar>
              <w:top w:w="75" w:type="dxa"/>
              <w:left w:w="75" w:type="dxa"/>
              <w:bottom w:w="75" w:type="dxa"/>
              <w:right w:w="75" w:type="dxa"/>
            </w:tcMar>
            <w:vAlign w:val="center"/>
          </w:tcPr>
          <w:p w14:paraId="76C3D35F" w14:textId="38B357C4" w:rsidR="006E22FB" w:rsidRPr="00B51883" w:rsidRDefault="006E22FB" w:rsidP="0014383C">
            <w:pPr>
              <w:jc w:val="left"/>
            </w:pPr>
            <w:r w:rsidRPr="00B51883">
              <w:t>Piekrītam, ka datu dublēšana un atjaunošana ir informācijas sistēmu kiberdrošības jautājums, kas primāri attiecināms uz informācijas sistēmu pārziņiem, nevis datu centru operatoriem.</w:t>
            </w:r>
          </w:p>
          <w:p w14:paraId="5190D421" w14:textId="77777777" w:rsidR="006E22FB" w:rsidRPr="00B51883" w:rsidRDefault="006E22FB" w:rsidP="0014383C">
            <w:pPr>
              <w:jc w:val="left"/>
            </w:pPr>
          </w:p>
          <w:p w14:paraId="3C26D021" w14:textId="71FD6565" w:rsidR="006E22FB" w:rsidRPr="00B51883" w:rsidRDefault="006E22FB" w:rsidP="0014383C">
            <w:pPr>
              <w:jc w:val="left"/>
            </w:pPr>
            <w:r w:rsidRPr="00B51883">
              <w:t>Lai nodrošinātu precīzāku prasības attiecināmību uz datu centru operatoriem, 5.2. apakšpunkts tiek precizēts, aizstājot " nepārtrauktas darbības stratēģijas (alternatīvie enerģijas avoti, rezerves sakaru kanāli);"</w:t>
            </w:r>
          </w:p>
          <w:p w14:paraId="70D9F3E6" w14:textId="08BC94DE" w:rsidR="006E22FB" w:rsidRPr="00B51883" w:rsidRDefault="006E22FB" w:rsidP="0014383C">
            <w:pPr>
              <w:jc w:val="left"/>
            </w:pPr>
          </w:p>
        </w:tc>
      </w:tr>
      <w:tr w:rsidR="006E22FB" w:rsidRPr="00B51883" w14:paraId="01DE4BE5" w14:textId="77777777">
        <w:tc>
          <w:tcPr>
            <w:tcW w:w="750" w:type="dxa"/>
            <w:vMerge/>
            <w:shd w:val="clear" w:color="auto" w:fill="FFFFFF"/>
            <w:noWrap/>
            <w:tcMar>
              <w:top w:w="75" w:type="dxa"/>
              <w:left w:w="75" w:type="dxa"/>
              <w:bottom w:w="75" w:type="dxa"/>
              <w:right w:w="75" w:type="dxa"/>
            </w:tcMar>
            <w:vAlign w:val="center"/>
          </w:tcPr>
          <w:p w14:paraId="3076BC13" w14:textId="77777777" w:rsidR="006E22FB" w:rsidRPr="00B51883" w:rsidRDefault="006E22FB">
            <w:pPr>
              <w:jc w:val="center"/>
            </w:pPr>
          </w:p>
        </w:tc>
        <w:tc>
          <w:tcPr>
            <w:tcW w:w="4055" w:type="dxa"/>
            <w:vMerge/>
            <w:shd w:val="clear" w:color="auto" w:fill="FFFFFF"/>
            <w:noWrap/>
            <w:tcMar>
              <w:top w:w="75" w:type="dxa"/>
              <w:left w:w="75" w:type="dxa"/>
              <w:bottom w:w="75" w:type="dxa"/>
              <w:right w:w="75" w:type="dxa"/>
            </w:tcMar>
            <w:vAlign w:val="center"/>
          </w:tcPr>
          <w:p w14:paraId="5619FAB2" w14:textId="77777777" w:rsidR="006E22FB" w:rsidRPr="00B51883" w:rsidRDefault="006E22FB">
            <w:pPr>
              <w:jc w:val="left"/>
            </w:pPr>
          </w:p>
        </w:tc>
        <w:tc>
          <w:tcPr>
            <w:tcW w:w="4056" w:type="dxa"/>
            <w:shd w:val="clear" w:color="auto" w:fill="FFFFFF"/>
            <w:noWrap/>
            <w:tcMar>
              <w:top w:w="75" w:type="dxa"/>
              <w:left w:w="75" w:type="dxa"/>
              <w:bottom w:w="75" w:type="dxa"/>
              <w:right w:w="75" w:type="dxa"/>
            </w:tcMar>
            <w:vAlign w:val="center"/>
          </w:tcPr>
          <w:p w14:paraId="3DB357AE" w14:textId="440CC300" w:rsidR="006E22FB" w:rsidRPr="00B51883" w:rsidRDefault="006E22FB">
            <w:pPr>
              <w:jc w:val="left"/>
            </w:pPr>
            <w:r w:rsidRPr="00B51883">
              <w:t>3. Iebilstam pret Noteikumu projekta 8.punktu.</w:t>
            </w:r>
            <w:r w:rsidRPr="00B51883">
              <w:br/>
            </w:r>
            <w:r w:rsidRPr="00B51883">
              <w:rPr>
                <w:b/>
              </w:rPr>
              <w:t>Pamatojums:</w:t>
            </w:r>
            <w:r w:rsidRPr="00B51883">
              <w:br/>
              <w:t xml:space="preserve">Noteikumu projekta 8.punkts nosaka, ka kvalificēts auditors, kuram ir tiesības sniegt šajos </w:t>
            </w:r>
            <w:r w:rsidRPr="00B51883">
              <w:lastRenderedPageBreak/>
              <w:t>noteikumos minētos atzinumus par atbilstību prasībām, atbilst Ministru kabineta noteikumos Noteikumi par minimālajām kiberdrošības prasībām noteiktajām prasībām un ir iekļauts kiberdrošības auditoru sarakstā ar atzīmi par kompetenci veikt datu centru atbilstības pārbaudes.</w:t>
            </w:r>
            <w:r w:rsidRPr="00B51883">
              <w:br/>
              <w:t>Datu centru infrastruktūras auditoram ir jāspēj pierādīt praksē zināšanas un pieredze darbā ar datu centru infrastruktūru un saistītajiem risinājumiem.</w:t>
            </w:r>
            <w:r w:rsidRPr="00B51883">
              <w:br/>
            </w:r>
            <w:r w:rsidRPr="00B51883">
              <w:rPr>
                <w:b/>
              </w:rPr>
              <w:t>Priekšlikums:</w:t>
            </w:r>
            <w:r w:rsidRPr="00B51883">
              <w:br/>
              <w:t xml:space="preserve">8.punktā ir minēts, ka datu centru auditu var veikt sertificēts kiberdrošības auditors, bet šāda prasība nav pietiekoša, jo kiberdrošības auditors ir sertificēts veikt IKT sistēmu drošības novērtēšanu, nevis datu centru infrastruktūras novērtēšanu. Iespējams, nepieciešams papildināt vai skaidrot, ka  ar punktā minēto </w:t>
            </w:r>
            <w:r w:rsidRPr="00B51883">
              <w:rPr>
                <w:i/>
              </w:rPr>
              <w:t xml:space="preserve">‘atzīme par kompetenci veikt datu centru </w:t>
            </w:r>
            <w:r w:rsidRPr="00B51883">
              <w:rPr>
                <w:i/>
              </w:rPr>
              <w:lastRenderedPageBreak/>
              <w:t>atbilstības pārbaudes.’</w:t>
            </w:r>
            <w:r w:rsidRPr="00B51883">
              <w:t xml:space="preserve"> Var pārliecināties, ka auditu veic atbilstoši kompetents auditors.</w:t>
            </w:r>
          </w:p>
        </w:tc>
        <w:tc>
          <w:tcPr>
            <w:tcW w:w="1650" w:type="dxa"/>
            <w:shd w:val="clear" w:color="auto" w:fill="FFFFFF"/>
            <w:noWrap/>
            <w:tcMar>
              <w:top w:w="75" w:type="dxa"/>
              <w:left w:w="75" w:type="dxa"/>
              <w:bottom w:w="75" w:type="dxa"/>
              <w:right w:w="75" w:type="dxa"/>
            </w:tcMar>
            <w:vAlign w:val="center"/>
          </w:tcPr>
          <w:p w14:paraId="24377FF6" w14:textId="7F180EE1" w:rsidR="006E22FB" w:rsidRPr="00B51883" w:rsidRDefault="006E22FB">
            <w:pPr>
              <w:jc w:val="left"/>
            </w:pPr>
            <w:r w:rsidRPr="00B51883">
              <w:rPr>
                <w:bCs/>
              </w:rPr>
              <w:lastRenderedPageBreak/>
              <w:t>ņemts vērā daļēji</w:t>
            </w:r>
          </w:p>
        </w:tc>
        <w:tc>
          <w:tcPr>
            <w:tcW w:w="4056" w:type="dxa"/>
            <w:shd w:val="clear" w:color="auto" w:fill="FFFFFF"/>
            <w:noWrap/>
            <w:tcMar>
              <w:top w:w="75" w:type="dxa"/>
              <w:left w:w="75" w:type="dxa"/>
              <w:bottom w:w="75" w:type="dxa"/>
              <w:right w:w="75" w:type="dxa"/>
            </w:tcMar>
            <w:vAlign w:val="center"/>
          </w:tcPr>
          <w:p w14:paraId="4E4FA2A9" w14:textId="77777777" w:rsidR="006E22FB" w:rsidRPr="00B51883" w:rsidRDefault="006E22FB" w:rsidP="00C01383">
            <w:pPr>
              <w:jc w:val="left"/>
            </w:pPr>
            <w:r w:rsidRPr="00B51883">
              <w:t>Priekšlikums par to, ka kiberdrošības auditoriem būtu jāpiemēro papildus prasības attiecībā uz datu centru infrastruktūras auditu, ir ņemts vērā daļēji.</w:t>
            </w:r>
          </w:p>
          <w:p w14:paraId="4A9F597E" w14:textId="12F1618B" w:rsidR="006E22FB" w:rsidRPr="00B51883" w:rsidRDefault="006E22FB" w:rsidP="00C01383">
            <w:pPr>
              <w:jc w:val="left"/>
            </w:pPr>
            <w:r w:rsidRPr="00B51883">
              <w:lastRenderedPageBreak/>
              <w:t>Saskaņā ar Nacionālās kiberdrošības likuma (NKDL) 44. pantu, Ministru kabinetam ir deleģējums noteikt prasības kiberdrošības auditoriem. Tās plānots iekļaut Ministru kabineta noteikumos Minimālajās kiberdrošības prasības. NKDL nosaka, ka ārējos auditus veic neatkarīgs kiberdrošības auditors, kurš ir reģistrēts Digitālās drošības uzraudzības komitejas apstiprinātajā kiberdrošības auditoru sarakstā.</w:t>
            </w:r>
          </w:p>
          <w:p w14:paraId="5E39011A" w14:textId="77777777" w:rsidR="006E22FB" w:rsidRPr="00B51883" w:rsidRDefault="006E22FB" w:rsidP="00C01383">
            <w:pPr>
              <w:jc w:val="left"/>
            </w:pPr>
          </w:p>
          <w:p w14:paraId="4BEC237A" w14:textId="77777777" w:rsidR="006E22FB" w:rsidRPr="00B51883" w:rsidRDefault="006E22FB" w:rsidP="00C01383">
            <w:pPr>
              <w:jc w:val="left"/>
            </w:pPr>
            <w:r w:rsidRPr="00B51883">
              <w:t>Ņemot vērā, ka datu centru audits būtiski atšķiras no vispārējās kiberdrošības audita prakses un prasa specializētu kompetenci, noteikumu projektā ir precizēts, ka auditori var iegūt atzīmi par kompetenci veikt datu centru atbilstības pārbaudes.</w:t>
            </w:r>
          </w:p>
          <w:p w14:paraId="3D19E1C7" w14:textId="77777777" w:rsidR="006E22FB" w:rsidRPr="00B51883" w:rsidRDefault="006E22FB" w:rsidP="00C01383">
            <w:pPr>
              <w:jc w:val="left"/>
            </w:pPr>
          </w:p>
          <w:p w14:paraId="24F75CB2" w14:textId="63C5D38A" w:rsidR="006E22FB" w:rsidRPr="00B51883" w:rsidRDefault="006E22FB" w:rsidP="00C01383">
            <w:pPr>
              <w:jc w:val="left"/>
            </w:pPr>
            <w:r w:rsidRPr="00B51883">
              <w:t xml:space="preserve">Papildus šo noteikumu projekta anotācijā ir norādīts, ka līdz brīdim, kamēr tiks apstiprināts kiberdrošības auditoru saraksts, </w:t>
            </w:r>
            <w:r w:rsidRPr="00B51883">
              <w:lastRenderedPageBreak/>
              <w:t>datu centru atbilstības pārbaudes atļauts veikt tikai auditoriem, kuriem ir starptautiski atzīts datu centra auditora sertifikāts.</w:t>
            </w:r>
          </w:p>
          <w:p w14:paraId="40ABE47E" w14:textId="77777777" w:rsidR="006E22FB" w:rsidRPr="00B51883" w:rsidRDefault="006E22FB" w:rsidP="00C01383">
            <w:pPr>
              <w:jc w:val="left"/>
            </w:pPr>
          </w:p>
          <w:p w14:paraId="1D6988B9" w14:textId="77777777" w:rsidR="006E22FB" w:rsidRPr="00B51883" w:rsidRDefault="006E22FB" w:rsidP="00C01383">
            <w:pPr>
              <w:jc w:val="left"/>
            </w:pPr>
            <w:r w:rsidRPr="00B51883">
              <w:t>Precizēts arī, ka Nacionālais kiberdrošības centrs oficiālajā tīmekļa vietnē publicēs rekomendētās kvalifikācijas prasības kiberdrošības auditoriem, tai skaitā:</w:t>
            </w:r>
          </w:p>
          <w:p w14:paraId="72922A33" w14:textId="37514F31" w:rsidR="006E22FB" w:rsidRPr="00B51883" w:rsidRDefault="006E22FB" w:rsidP="00C01383">
            <w:pPr>
              <w:pStyle w:val="ListParagraph"/>
              <w:numPr>
                <w:ilvl w:val="0"/>
                <w:numId w:val="1"/>
              </w:numPr>
              <w:jc w:val="left"/>
            </w:pPr>
            <w:r w:rsidRPr="00B51883">
              <w:t>CISA vai CDCAP sertifikācija vai līdzvērtīgs sertifikāts</w:t>
            </w:r>
          </w:p>
          <w:p w14:paraId="6C69DF16" w14:textId="4557E085" w:rsidR="006E22FB" w:rsidRPr="00B51883" w:rsidRDefault="006E22FB" w:rsidP="00C01383">
            <w:pPr>
              <w:pStyle w:val="ListParagraph"/>
              <w:numPr>
                <w:ilvl w:val="0"/>
                <w:numId w:val="1"/>
              </w:numPr>
              <w:jc w:val="left"/>
            </w:pPr>
            <w:r w:rsidRPr="00B51883">
              <w:t>ISO 27001 galvenā auditora sertifikācija vai līdzvērtīga kvalifikācija</w:t>
            </w:r>
          </w:p>
          <w:p w14:paraId="34A032DF" w14:textId="574D205D" w:rsidR="006E22FB" w:rsidRPr="00B51883" w:rsidRDefault="006E22FB" w:rsidP="00C01383">
            <w:pPr>
              <w:pStyle w:val="ListParagraph"/>
              <w:numPr>
                <w:ilvl w:val="0"/>
                <w:numId w:val="1"/>
              </w:numPr>
              <w:jc w:val="left"/>
            </w:pPr>
            <w:r w:rsidRPr="00B51883">
              <w:t>Tiesības veikt datu centru auditus pēc ISO/IEC 22237:2021 standarta prasībām</w:t>
            </w:r>
          </w:p>
          <w:p w14:paraId="00CC73CD" w14:textId="44DF65A7" w:rsidR="006E22FB" w:rsidRPr="00B51883" w:rsidRDefault="006E22FB" w:rsidP="00C01383">
            <w:pPr>
              <w:pStyle w:val="ListParagraph"/>
              <w:numPr>
                <w:ilvl w:val="0"/>
                <w:numId w:val="1"/>
              </w:numPr>
              <w:jc w:val="left"/>
            </w:pPr>
            <w:r w:rsidRPr="00B51883">
              <w:t>Vismaz divu gadu pieredze informācijas tehnoloģiju audita vai drošības audita jomā</w:t>
            </w:r>
          </w:p>
          <w:p w14:paraId="3E832A55" w14:textId="494B97A7" w:rsidR="006E22FB" w:rsidRPr="00B51883" w:rsidRDefault="006E22FB" w:rsidP="00C01383">
            <w:pPr>
              <w:pStyle w:val="ListParagraph"/>
              <w:numPr>
                <w:ilvl w:val="0"/>
                <w:numId w:val="1"/>
              </w:numPr>
              <w:jc w:val="left"/>
            </w:pPr>
            <w:r w:rsidRPr="00B51883">
              <w:lastRenderedPageBreak/>
              <w:t>Vismaz viena gada pieredze ISO 27001 auditā vai līdzvērtīgā auditā</w:t>
            </w:r>
          </w:p>
          <w:p w14:paraId="48FBD4D3" w14:textId="77777777" w:rsidR="006E22FB" w:rsidRPr="00B51883" w:rsidRDefault="006E22FB" w:rsidP="00C01383">
            <w:pPr>
              <w:jc w:val="left"/>
            </w:pPr>
          </w:p>
          <w:p w14:paraId="0034BA5E" w14:textId="66E4FF3C" w:rsidR="006E22FB" w:rsidRPr="00B51883" w:rsidRDefault="006E22FB" w:rsidP="00C01383">
            <w:pPr>
              <w:jc w:val="left"/>
            </w:pPr>
            <w:r w:rsidRPr="00B51883">
              <w:t>Priekšlikumā minētā jautājuma risinājums jau ir paredzēts anotācijā, norādot datu centru auditoru kvalifikācijas prasības. Jāpiekrīt, ka deleģējums Ministru kabinetam noteikt prasības un kārtību attiecībā uz auditoru reģistrāciju un atbilstības kritērijiem nav vēl izpildīts un vēl precizējams Ministru kabineta noteikumu projektā Minimālās kiberdrošības prasības.</w:t>
            </w:r>
          </w:p>
        </w:tc>
      </w:tr>
      <w:tr w:rsidR="006E22FB" w:rsidRPr="00B51883" w14:paraId="44B1CC54" w14:textId="77777777">
        <w:tc>
          <w:tcPr>
            <w:tcW w:w="750" w:type="dxa"/>
            <w:vMerge/>
            <w:shd w:val="clear" w:color="auto" w:fill="FFFFFF"/>
            <w:noWrap/>
            <w:tcMar>
              <w:top w:w="75" w:type="dxa"/>
              <w:left w:w="75" w:type="dxa"/>
              <w:bottom w:w="75" w:type="dxa"/>
              <w:right w:w="75" w:type="dxa"/>
            </w:tcMar>
            <w:vAlign w:val="center"/>
          </w:tcPr>
          <w:p w14:paraId="04036374" w14:textId="77777777" w:rsidR="006E22FB" w:rsidRPr="00B51883" w:rsidRDefault="006E22FB">
            <w:pPr>
              <w:jc w:val="center"/>
            </w:pPr>
          </w:p>
        </w:tc>
        <w:tc>
          <w:tcPr>
            <w:tcW w:w="4055" w:type="dxa"/>
            <w:vMerge/>
            <w:shd w:val="clear" w:color="auto" w:fill="FFFFFF"/>
            <w:noWrap/>
            <w:tcMar>
              <w:top w:w="75" w:type="dxa"/>
              <w:left w:w="75" w:type="dxa"/>
              <w:bottom w:w="75" w:type="dxa"/>
              <w:right w:w="75" w:type="dxa"/>
            </w:tcMar>
            <w:vAlign w:val="center"/>
          </w:tcPr>
          <w:p w14:paraId="110B0713" w14:textId="77777777" w:rsidR="006E22FB" w:rsidRPr="00B51883" w:rsidRDefault="006E22FB">
            <w:pPr>
              <w:jc w:val="left"/>
            </w:pPr>
          </w:p>
        </w:tc>
        <w:tc>
          <w:tcPr>
            <w:tcW w:w="4056" w:type="dxa"/>
            <w:shd w:val="clear" w:color="auto" w:fill="FFFFFF"/>
            <w:noWrap/>
            <w:tcMar>
              <w:top w:w="75" w:type="dxa"/>
              <w:left w:w="75" w:type="dxa"/>
              <w:bottom w:w="75" w:type="dxa"/>
              <w:right w:w="75" w:type="dxa"/>
            </w:tcMar>
            <w:vAlign w:val="center"/>
          </w:tcPr>
          <w:p w14:paraId="6F1B24A3" w14:textId="5F8FD303" w:rsidR="006E22FB" w:rsidRPr="00B51883" w:rsidRDefault="006E22FB">
            <w:pPr>
              <w:jc w:val="left"/>
            </w:pPr>
            <w:r w:rsidRPr="00B51883">
              <w:t>4. Iebilstam pret Noteikumu projekta 13.1. apakšpunktu.</w:t>
            </w:r>
            <w:r w:rsidRPr="00B51883">
              <w:br/>
            </w:r>
            <w:r w:rsidRPr="00B51883">
              <w:rPr>
                <w:b/>
              </w:rPr>
              <w:t>Pamatojums:</w:t>
            </w:r>
            <w:r w:rsidRPr="00B51883">
              <w:br/>
              <w:t xml:space="preserve">Noteikumu projekta 13.1. apakšpunkts nosaka, ka Nacionālās kiberdrošības centrs ir tiesīgs pieprasīt datu centru operatoram veikt ārkārtas pārbaudi šādos gadījumos: pēc notikuša nozīmīga kiberincidenta, kas ir skāris A kategorijas </w:t>
            </w:r>
            <w:r w:rsidRPr="00B51883">
              <w:lastRenderedPageBreak/>
              <w:t>paaugstinātas drošības informācijas sistēmu un tā cēlonis ir saistīts ar datu centriem.</w:t>
            </w:r>
            <w:r w:rsidRPr="00B51883">
              <w:br/>
              <w:t>Nepieciešams precizēt dīkstāves procesa raksturojumu.</w:t>
            </w:r>
            <w:r w:rsidRPr="00B51883">
              <w:br/>
            </w:r>
            <w:r w:rsidRPr="00B51883">
              <w:rPr>
                <w:b/>
              </w:rPr>
              <w:t>Priekšlikums:</w:t>
            </w:r>
            <w:r w:rsidRPr="00B51883">
              <w:br/>
              <w:t>Izteikt Noteikumu projekta 13.1. apakšpunktu sekojošā redakcijā:</w:t>
            </w:r>
            <w:r w:rsidRPr="00B51883">
              <w:br/>
              <w:t>“13.1. pēc notikuša nozīmīga kiberincidenta vai datu centra infrastruktūras dīkstāves, kas ir skāris datu centrā izvietotās paaugstinātas informācijas sistēmas un tā cēlonis ir saistīts ar datu centriem centra infrastruktūras pieejamību vai piekļuvi tai, vai datu centra operatora nodrošināto IKT pakalpojumu pieejamību vai piekļuvi tām”</w:t>
            </w:r>
          </w:p>
        </w:tc>
        <w:tc>
          <w:tcPr>
            <w:tcW w:w="1650" w:type="dxa"/>
            <w:shd w:val="clear" w:color="auto" w:fill="FFFFFF"/>
            <w:noWrap/>
            <w:tcMar>
              <w:top w:w="75" w:type="dxa"/>
              <w:left w:w="75" w:type="dxa"/>
              <w:bottom w:w="75" w:type="dxa"/>
              <w:right w:w="75" w:type="dxa"/>
            </w:tcMar>
            <w:vAlign w:val="center"/>
          </w:tcPr>
          <w:p w14:paraId="7F597F04" w14:textId="659F9EC8" w:rsidR="006E22FB" w:rsidRPr="00B51883" w:rsidRDefault="006E22FB">
            <w:pPr>
              <w:jc w:val="left"/>
            </w:pPr>
            <w:r w:rsidRPr="00B51883">
              <w:lastRenderedPageBreak/>
              <w:t>nav ņemts vērā</w:t>
            </w:r>
          </w:p>
        </w:tc>
        <w:tc>
          <w:tcPr>
            <w:tcW w:w="4056" w:type="dxa"/>
            <w:shd w:val="clear" w:color="auto" w:fill="FFFFFF"/>
            <w:noWrap/>
            <w:tcMar>
              <w:top w:w="75" w:type="dxa"/>
              <w:left w:w="75" w:type="dxa"/>
              <w:bottom w:w="75" w:type="dxa"/>
              <w:right w:w="75" w:type="dxa"/>
            </w:tcMar>
            <w:vAlign w:val="center"/>
          </w:tcPr>
          <w:p w14:paraId="602B6378" w14:textId="77777777" w:rsidR="006E22FB" w:rsidRPr="00B51883" w:rsidRDefault="006E22FB" w:rsidP="00A27DB5">
            <w:pPr>
              <w:jc w:val="left"/>
            </w:pPr>
            <w:r w:rsidRPr="00B51883">
              <w:t>Priekšlikums nav ņemts vērā, jo tā piedāvātā redakcija sašaurina iespējamo kiberincidentu kopu, kas var ietekmēt datu centra infrastruktūras drošību un informācijas sistēmu darbību.</w:t>
            </w:r>
          </w:p>
          <w:p w14:paraId="7B93E30F" w14:textId="77777777" w:rsidR="006E22FB" w:rsidRPr="00B51883" w:rsidRDefault="006E22FB" w:rsidP="00A27DB5">
            <w:pPr>
              <w:jc w:val="left"/>
            </w:pPr>
          </w:p>
          <w:p w14:paraId="737AA8F0" w14:textId="77777777" w:rsidR="006E22FB" w:rsidRPr="00B51883" w:rsidRDefault="006E22FB" w:rsidP="00A27DB5">
            <w:pPr>
              <w:jc w:val="left"/>
            </w:pPr>
            <w:r w:rsidRPr="00B51883">
              <w:t xml:space="preserve">Noteikumu projekta 13.1. apakšpunkta mērķis nav ierobežot vai definēt konkrētus kiberincidentu scenārijus, bet gan </w:t>
            </w:r>
            <w:r w:rsidRPr="00B51883">
              <w:lastRenderedPageBreak/>
              <w:t>nodrošināt, ka Nacionālās kiberdrošības centrs saglabā tiesības pieprasīt ārkārtas pārbaudi visos gadījumos, kad kiberincidents ir skāris A kategorijas paaugstinātas drošības informācijas sistēmu un tā cēlonis ir saistīts ar datu centru.</w:t>
            </w:r>
          </w:p>
          <w:p w14:paraId="43AFEE02" w14:textId="77777777" w:rsidR="006E22FB" w:rsidRPr="00B51883" w:rsidRDefault="006E22FB" w:rsidP="00A27DB5">
            <w:pPr>
              <w:jc w:val="left"/>
            </w:pPr>
          </w:p>
          <w:p w14:paraId="4F4A8F14" w14:textId="77777777" w:rsidR="006E22FB" w:rsidRPr="00B51883" w:rsidRDefault="006E22FB" w:rsidP="00A27DB5">
            <w:pPr>
              <w:jc w:val="left"/>
            </w:pPr>
            <w:r w:rsidRPr="00B51883">
              <w:t>Priekšlikums precizēt incidenta ietekmi uz infrastruktūras pieejamību vai piekļuvi var radīt interpretācijas ierobežojumus un neaptvert situācijas, kurās kiberincidenti skar ne tikai pieejamību, bet arī konfidencialitāti un integritāti, piemēram, ja tiek apdraudētas piekļuves kontroles sistēmas vai kompromitēti fiziskās drošības mehānismi.</w:t>
            </w:r>
          </w:p>
          <w:p w14:paraId="7A5FCF9F" w14:textId="77777777" w:rsidR="006E22FB" w:rsidRPr="00B51883" w:rsidRDefault="006E22FB" w:rsidP="00A27DB5">
            <w:pPr>
              <w:jc w:val="left"/>
            </w:pPr>
          </w:p>
          <w:p w14:paraId="276ABBC2" w14:textId="566F6EF3" w:rsidR="006E22FB" w:rsidRPr="00B51883" w:rsidRDefault="006E22FB" w:rsidP="00A27DB5">
            <w:pPr>
              <w:jc w:val="left"/>
            </w:pPr>
            <w:r w:rsidRPr="00B51883">
              <w:t xml:space="preserve">Līdz ar to punkta esošā redakcija tiek saglabāta, lai nodrošinātu visaptverošu regulējumu, kas ļauj rīkoties atbilstoši jebkuram nozīmīgam kiberincidentam, </w:t>
            </w:r>
            <w:r w:rsidRPr="00B51883">
              <w:lastRenderedPageBreak/>
              <w:t>neatkarīgi no konkrētās ietekmes rakstura.</w:t>
            </w:r>
          </w:p>
        </w:tc>
      </w:tr>
      <w:tr w:rsidR="006E22FB" w:rsidRPr="00B51883" w14:paraId="21B49B63" w14:textId="77777777">
        <w:tc>
          <w:tcPr>
            <w:tcW w:w="750" w:type="dxa"/>
            <w:vMerge/>
            <w:shd w:val="clear" w:color="auto" w:fill="FFFFFF"/>
            <w:noWrap/>
            <w:tcMar>
              <w:top w:w="75" w:type="dxa"/>
              <w:left w:w="75" w:type="dxa"/>
              <w:bottom w:w="75" w:type="dxa"/>
              <w:right w:w="75" w:type="dxa"/>
            </w:tcMar>
            <w:vAlign w:val="center"/>
          </w:tcPr>
          <w:p w14:paraId="08692D69"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45FFBC08"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7EDD6328" w14:textId="2606D387" w:rsidR="006E22FB" w:rsidRPr="00B51883" w:rsidRDefault="006E22FB" w:rsidP="008F08CC">
            <w:pPr>
              <w:jc w:val="left"/>
            </w:pPr>
            <w:r w:rsidRPr="00B51883">
              <w:t>5. Iebilstam pret Noteikumu projekta 16.punktu.</w:t>
            </w:r>
            <w:r w:rsidRPr="00B51883">
              <w:br/>
            </w:r>
            <w:r w:rsidRPr="00B51883">
              <w:rPr>
                <w:b/>
              </w:rPr>
              <w:t>Pamatojums:</w:t>
            </w:r>
            <w:r w:rsidRPr="00B51883">
              <w:br/>
              <w:t xml:space="preserve">Noteikumu projekta 16.punkts nosaka, ja datu centru operators ir informācijas un komunikācijas tehnoloģiju </w:t>
            </w:r>
            <w:r w:rsidRPr="00B51883">
              <w:rPr>
                <w:b/>
                <w:u w:val="single"/>
              </w:rPr>
              <w:t>kritiskās infrastruktūras kritiskās infrastruktūras</w:t>
            </w:r>
            <w:r w:rsidRPr="00B51883">
              <w:t xml:space="preserve"> īpašnieks vai tiesiskais valdītājs, tad uzraudzību šim datu centram nodrošina Satversmes aizsardzības birojs atbilstoši Nacionālās kiberdrošības likumā noteiktajam.</w:t>
            </w:r>
            <w:r w:rsidRPr="00B51883">
              <w:br/>
              <w:t>Noteikumos kļūdaini dublējas frāze “kritiskās infrastruktūras”.</w:t>
            </w:r>
            <w:r w:rsidRPr="00B51883">
              <w:br/>
              <w:t>Lūdzam Noteikumu projekta 16.punktā precizēt normatīvo bāzi, kā datu centra operators uzzina, ka ir kļuvis “kritiskās infrastruktūras īpašnieks vai tiesiskais vadītājs”.</w:t>
            </w:r>
            <w:r w:rsidRPr="00B51883">
              <w:br/>
            </w:r>
            <w:r w:rsidRPr="00B51883">
              <w:rPr>
                <w:b/>
              </w:rPr>
              <w:t>Priekšlikums:</w:t>
            </w:r>
            <w:r w:rsidRPr="00B51883">
              <w:br/>
              <w:t>Precizēt Noteikumu projekta 16.punktu.</w:t>
            </w:r>
          </w:p>
        </w:tc>
        <w:tc>
          <w:tcPr>
            <w:tcW w:w="1650" w:type="dxa"/>
            <w:shd w:val="clear" w:color="auto" w:fill="FFFFFF"/>
            <w:noWrap/>
            <w:tcMar>
              <w:top w:w="75" w:type="dxa"/>
              <w:left w:w="75" w:type="dxa"/>
              <w:bottom w:w="75" w:type="dxa"/>
              <w:right w:w="75" w:type="dxa"/>
            </w:tcMar>
            <w:vAlign w:val="center"/>
          </w:tcPr>
          <w:p w14:paraId="0E31F716" w14:textId="542DBAF8" w:rsidR="006E22FB" w:rsidRPr="00B51883" w:rsidRDefault="006E22FB" w:rsidP="008F08CC">
            <w:pPr>
              <w:jc w:val="left"/>
            </w:pPr>
            <w:r w:rsidRPr="00B51883">
              <w:rPr>
                <w:bCs/>
              </w:rPr>
              <w:t>ņemts vērā daļēji</w:t>
            </w:r>
          </w:p>
        </w:tc>
        <w:tc>
          <w:tcPr>
            <w:tcW w:w="4056" w:type="dxa"/>
            <w:shd w:val="clear" w:color="auto" w:fill="FFFFFF"/>
            <w:noWrap/>
            <w:tcMar>
              <w:top w:w="75" w:type="dxa"/>
              <w:left w:w="75" w:type="dxa"/>
              <w:bottom w:w="75" w:type="dxa"/>
              <w:right w:w="75" w:type="dxa"/>
            </w:tcMar>
            <w:vAlign w:val="center"/>
          </w:tcPr>
          <w:p w14:paraId="7D60AFC1" w14:textId="6C5A7F98" w:rsidR="006E22FB" w:rsidRPr="00B51883" w:rsidRDefault="006E22FB" w:rsidP="008F08CC">
            <w:pPr>
              <w:jc w:val="left"/>
            </w:pPr>
            <w:r w:rsidRPr="00B51883">
              <w:t>Frāzes “kritiskās infrastruktūras” dublēšanās ir labota.</w:t>
            </w:r>
          </w:p>
          <w:p w14:paraId="0143756E" w14:textId="77777777" w:rsidR="006E22FB" w:rsidRPr="00B51883" w:rsidRDefault="006E22FB" w:rsidP="008F08CC">
            <w:pPr>
              <w:jc w:val="left"/>
            </w:pPr>
          </w:p>
          <w:p w14:paraId="13FCA93F" w14:textId="364FFAB3" w:rsidR="006E22FB" w:rsidRPr="00B51883" w:rsidRDefault="006E22FB" w:rsidP="008F08CC">
            <w:pPr>
              <w:jc w:val="left"/>
            </w:pPr>
            <w:r w:rsidRPr="00B51883">
              <w:t>Normatīvās bāzes precizēšana par to, kā datu centra operators uzzina par savu statusu kā kritiskās infrastruktūras īpašnieks vai tiesiskais valdītājs, ir papildināta, atsaucoties uz attiecīgajām Nacionālās kiberdrošības likuma normām un atbildīgajām institūcijām, kas šo statusu nosaka un atbilstoši informē.</w:t>
            </w:r>
          </w:p>
          <w:p w14:paraId="5EF596C6" w14:textId="77777777" w:rsidR="006E22FB" w:rsidRPr="00B51883" w:rsidRDefault="006E22FB" w:rsidP="008F08CC">
            <w:pPr>
              <w:jc w:val="left"/>
            </w:pPr>
          </w:p>
          <w:p w14:paraId="2DE0BCB8" w14:textId="6C93D464" w:rsidR="006E22FB" w:rsidRPr="00B51883" w:rsidRDefault="006E22FB" w:rsidP="008F08CC">
            <w:pPr>
              <w:jc w:val="left"/>
            </w:pPr>
            <w:r w:rsidRPr="00B51883">
              <w:t>Esošā redakcija paliek spēkā attiecībā uz uzraudzības nodrošināšanu no Satversmes aizsardzības biroja puses, jo tas ir noteikts saskaņā ar Nacionālās kiberdrošības likuma regulējumu, un šo aspektu nav nepieciešams precizēt šajos noteikumos.</w:t>
            </w:r>
          </w:p>
        </w:tc>
      </w:tr>
      <w:tr w:rsidR="006E22FB" w:rsidRPr="00B51883" w14:paraId="3822A48A" w14:textId="77777777">
        <w:tc>
          <w:tcPr>
            <w:tcW w:w="750" w:type="dxa"/>
            <w:vMerge/>
            <w:shd w:val="clear" w:color="auto" w:fill="FFFFFF"/>
            <w:noWrap/>
            <w:tcMar>
              <w:top w:w="75" w:type="dxa"/>
              <w:left w:w="75" w:type="dxa"/>
              <w:bottom w:w="75" w:type="dxa"/>
              <w:right w:w="75" w:type="dxa"/>
            </w:tcMar>
            <w:vAlign w:val="center"/>
          </w:tcPr>
          <w:p w14:paraId="5DA2C857"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48ECA42C"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3962FB69" w14:textId="6F32F959" w:rsidR="006E22FB" w:rsidRPr="00B51883" w:rsidRDefault="006E22FB" w:rsidP="008F08CC">
            <w:pPr>
              <w:jc w:val="left"/>
            </w:pPr>
            <w:r w:rsidRPr="00B51883">
              <w:t>6. Iebilstam pret Noteikumu projekta 19.punktu.</w:t>
            </w:r>
            <w:r w:rsidRPr="00B51883">
              <w:br/>
            </w:r>
            <w:r w:rsidRPr="00B51883">
              <w:rPr>
                <w:b/>
              </w:rPr>
              <w:t>Pamatojums:</w:t>
            </w:r>
            <w:r w:rsidRPr="00B51883">
              <w:br/>
              <w:t>Noteikumu projekta 19.punkts nosaka, ka datu centra operatori nodrošina drošības telemetrijas datu pieejamību reāllaikā (ar datu pieejamību ne vēlāk kā minūti pēc notikuma) kompetentās kiberincidentu novēršanas institūcijai.</w:t>
            </w:r>
            <w:r w:rsidRPr="00B51883">
              <w:br/>
              <w:t>Prasības tvērumu ir nepieciešams aprakstīt detalizētāk. Esošajā redakcijā nav precizēti dati, kuriem ir jānodrošina piekļuve.</w:t>
            </w:r>
            <w:r w:rsidRPr="00B51883">
              <w:br/>
            </w:r>
            <w:r w:rsidRPr="00B51883">
              <w:rPr>
                <w:b/>
              </w:rPr>
              <w:t>Priekšlikums:</w:t>
            </w:r>
            <w:r w:rsidRPr="00B51883">
              <w:br/>
              <w:t>Papildināt Noteikumu projekta 19.punktu.</w:t>
            </w:r>
          </w:p>
        </w:tc>
        <w:tc>
          <w:tcPr>
            <w:tcW w:w="1650" w:type="dxa"/>
            <w:shd w:val="clear" w:color="auto" w:fill="FFFFFF"/>
            <w:noWrap/>
            <w:tcMar>
              <w:top w:w="75" w:type="dxa"/>
              <w:left w:w="75" w:type="dxa"/>
              <w:bottom w:w="75" w:type="dxa"/>
              <w:right w:w="75" w:type="dxa"/>
            </w:tcMar>
            <w:vAlign w:val="center"/>
          </w:tcPr>
          <w:p w14:paraId="2553B34D" w14:textId="2AC52595" w:rsidR="006E22FB" w:rsidRPr="00B51883" w:rsidRDefault="006E22FB" w:rsidP="008F08CC">
            <w:pPr>
              <w:jc w:val="left"/>
            </w:pPr>
            <w:r w:rsidRPr="00B51883">
              <w:rPr>
                <w:bCs/>
              </w:rPr>
              <w:t>ņemts vērā daļēji</w:t>
            </w:r>
          </w:p>
        </w:tc>
        <w:tc>
          <w:tcPr>
            <w:tcW w:w="4056" w:type="dxa"/>
            <w:shd w:val="clear" w:color="auto" w:fill="FFFFFF"/>
            <w:noWrap/>
            <w:tcMar>
              <w:top w:w="75" w:type="dxa"/>
              <w:left w:w="75" w:type="dxa"/>
              <w:bottom w:w="75" w:type="dxa"/>
              <w:right w:w="75" w:type="dxa"/>
            </w:tcMar>
            <w:vAlign w:val="center"/>
          </w:tcPr>
          <w:p w14:paraId="088BD36F" w14:textId="16BC49CD" w:rsidR="006E22FB" w:rsidRPr="00B51883" w:rsidRDefault="006E22FB" w:rsidP="000570A7">
            <w:pPr>
              <w:jc w:val="left"/>
            </w:pPr>
            <w:r w:rsidRPr="00B51883">
              <w:t>Prasības tvērums attiecībā uz drošības telemetrijas datiem jau ir precizēts noteikumu projekta apakšpunktā 25.1. Šis apakšpunkts sniedz skaidrojumu par drošības telemetrijas datiem, norādot, ka tie var būt:</w:t>
            </w:r>
          </w:p>
          <w:p w14:paraId="2AED4E12" w14:textId="25ED0929" w:rsidR="006E22FB" w:rsidRPr="00B51883" w:rsidRDefault="006E22FB" w:rsidP="000570A7">
            <w:pPr>
              <w:pStyle w:val="ListParagraph"/>
              <w:numPr>
                <w:ilvl w:val="0"/>
                <w:numId w:val="2"/>
              </w:numPr>
              <w:jc w:val="left"/>
            </w:pPr>
            <w:r w:rsidRPr="00B51883">
              <w:t>operētājsistēmu un lietotņu žurnālfaili,</w:t>
            </w:r>
          </w:p>
          <w:p w14:paraId="6CD8DD21" w14:textId="1690A209" w:rsidR="006E22FB" w:rsidRPr="00B51883" w:rsidRDefault="006E22FB" w:rsidP="000570A7">
            <w:pPr>
              <w:pStyle w:val="ListParagraph"/>
              <w:numPr>
                <w:ilvl w:val="0"/>
                <w:numId w:val="2"/>
              </w:numPr>
              <w:jc w:val="left"/>
            </w:pPr>
            <w:r w:rsidRPr="00B51883">
              <w:t>auditācijas pieraksti,</w:t>
            </w:r>
          </w:p>
          <w:p w14:paraId="56A83DF6" w14:textId="24BFC4BE" w:rsidR="006E22FB" w:rsidRPr="00B51883" w:rsidRDefault="006E22FB" w:rsidP="000570A7">
            <w:pPr>
              <w:pStyle w:val="ListParagraph"/>
              <w:numPr>
                <w:ilvl w:val="0"/>
                <w:numId w:val="2"/>
              </w:numPr>
              <w:jc w:val="left"/>
            </w:pPr>
            <w:r w:rsidRPr="00B51883">
              <w:t>dati un metadati par datu plūsmā identificētajiem drošības notikumiem.</w:t>
            </w:r>
          </w:p>
          <w:p w14:paraId="0F5DF3B1" w14:textId="77777777" w:rsidR="006E22FB" w:rsidRPr="00B51883" w:rsidRDefault="006E22FB" w:rsidP="000570A7">
            <w:pPr>
              <w:jc w:val="left"/>
            </w:pPr>
          </w:p>
          <w:p w14:paraId="171267BE" w14:textId="1F99CD8D" w:rsidR="006E22FB" w:rsidRPr="00B51883" w:rsidRDefault="006E22FB" w:rsidP="000570A7">
            <w:pPr>
              <w:jc w:val="left"/>
            </w:pPr>
            <w:r w:rsidRPr="00B51883">
              <w:t>Lai novērstu neskaidrības 19. punktā tiks integrēts 25.1. punktā ietvertais skaidrojums.</w:t>
            </w:r>
          </w:p>
        </w:tc>
      </w:tr>
      <w:tr w:rsidR="006E22FB" w:rsidRPr="00B51883" w14:paraId="14C5E376" w14:textId="77777777">
        <w:tc>
          <w:tcPr>
            <w:tcW w:w="750" w:type="dxa"/>
            <w:vMerge/>
            <w:shd w:val="clear" w:color="auto" w:fill="FFFFFF"/>
            <w:noWrap/>
            <w:tcMar>
              <w:top w:w="75" w:type="dxa"/>
              <w:left w:w="75" w:type="dxa"/>
              <w:bottom w:w="75" w:type="dxa"/>
              <w:right w:w="75" w:type="dxa"/>
            </w:tcMar>
            <w:vAlign w:val="center"/>
          </w:tcPr>
          <w:p w14:paraId="73A849E6"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1A27F68A"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0A29DAE3" w14:textId="3B9D628A" w:rsidR="006E22FB" w:rsidRPr="00B51883" w:rsidRDefault="006E22FB" w:rsidP="008F08CC">
            <w:pPr>
              <w:jc w:val="left"/>
            </w:pPr>
            <w:r w:rsidRPr="00B51883">
              <w:t>7. Iebilstam pret Noteikumu projekta V. sadaļu “Informācijas sistēmu izvietošanas noteikumi datu centros”</w:t>
            </w:r>
            <w:r w:rsidRPr="00B51883">
              <w:br/>
            </w:r>
            <w:r w:rsidRPr="00B51883">
              <w:rPr>
                <w:b/>
              </w:rPr>
              <w:t>Pamatojums:</w:t>
            </w:r>
            <w:r w:rsidRPr="00B51883">
              <w:br/>
              <w:t xml:space="preserve">Noteikumu projekta V. sadaļas 20. punktā minētajām IKT sistēmām ir izvirzīta prasība atrasties drošos datu centros un uzskatām, ka ir </w:t>
            </w:r>
            <w:r w:rsidRPr="00B51883">
              <w:lastRenderedPageBreak/>
              <w:t>jādefinē termiņi, kuros, gadījumā, ja datu centrs ir zaudējis droša datu centra statusu, tajā izvietotās IKT sistēmas ir jāpārceļ uz datu centru, kas ir ar droša datu centra statusu.</w:t>
            </w:r>
            <w:r w:rsidRPr="00B51883">
              <w:br/>
            </w:r>
            <w:r w:rsidRPr="00B51883">
              <w:rPr>
                <w:b/>
              </w:rPr>
              <w:t>Priekšlikums:</w:t>
            </w:r>
            <w:r w:rsidRPr="00B51883">
              <w:br/>
              <w:t>V. Sadaļu ir nepieciešams papildināt ar prasību IKT sistēmu pārvaldniekam pārcelt IKT uz drošu datu centru 12 mēnešu laikā, ja esošais ir zaudējis statusu atbilstoši prasību 15. punktam.</w:t>
            </w:r>
          </w:p>
        </w:tc>
        <w:tc>
          <w:tcPr>
            <w:tcW w:w="1650" w:type="dxa"/>
            <w:shd w:val="clear" w:color="auto" w:fill="FFFFFF"/>
            <w:noWrap/>
            <w:tcMar>
              <w:top w:w="75" w:type="dxa"/>
              <w:left w:w="75" w:type="dxa"/>
              <w:bottom w:w="75" w:type="dxa"/>
              <w:right w:w="75" w:type="dxa"/>
            </w:tcMar>
            <w:vAlign w:val="center"/>
          </w:tcPr>
          <w:p w14:paraId="02BEE646" w14:textId="46EDDF9E" w:rsidR="006E22FB" w:rsidRPr="00B51883" w:rsidRDefault="006E22FB" w:rsidP="008F08CC">
            <w:pPr>
              <w:jc w:val="left"/>
              <w:rPr>
                <w:bCs/>
              </w:rPr>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736A4E92" w14:textId="15361C08" w:rsidR="006E22FB" w:rsidRPr="00B51883" w:rsidRDefault="006E22FB" w:rsidP="00D4525F">
            <w:pPr>
              <w:jc w:val="left"/>
            </w:pPr>
            <w:r w:rsidRPr="00B51883">
              <w:t>V. sadaļa papildināta ar jaunu normu, kas nosaka prasību IKT sistēmu pārvaldniekiem pārcelt IKT sistēmas uz drošu datu centru noteiktā termiņā, ja esošais datu centrs ir zaudējis droša datu centra statusu.</w:t>
            </w:r>
          </w:p>
          <w:p w14:paraId="50551A52" w14:textId="77777777" w:rsidR="006E22FB" w:rsidRPr="00B51883" w:rsidRDefault="006E22FB" w:rsidP="00D4525F">
            <w:pPr>
              <w:jc w:val="left"/>
            </w:pPr>
          </w:p>
          <w:p w14:paraId="6BDF8930" w14:textId="77777777" w:rsidR="006E22FB" w:rsidRPr="00B51883" w:rsidRDefault="006E22FB" w:rsidP="00D4525F">
            <w:pPr>
              <w:jc w:val="left"/>
            </w:pPr>
            <w:r w:rsidRPr="00B51883">
              <w:lastRenderedPageBreak/>
              <w:t>Papildus norma, kas iekļauta V. sadaļā:</w:t>
            </w:r>
          </w:p>
          <w:p w14:paraId="799EE8A0" w14:textId="77777777" w:rsidR="006E22FB" w:rsidRPr="00B51883" w:rsidRDefault="006E22FB" w:rsidP="00D4525F">
            <w:pPr>
              <w:jc w:val="left"/>
            </w:pPr>
          </w:p>
          <w:p w14:paraId="7094BA8F" w14:textId="0CB2B5CA" w:rsidR="006E22FB" w:rsidRPr="00B51883" w:rsidRDefault="006E22FB" w:rsidP="00D4525F">
            <w:pPr>
              <w:jc w:val="left"/>
            </w:pPr>
            <w:r w:rsidRPr="00B51883">
              <w:t xml:space="preserve">" Ja datu centrs ir izslēgts no drošo datu centra reģistra saskaņā ar šo noteikumu </w:t>
            </w:r>
            <w:hyperlink r:id="rId7" w:tgtFrame="_blank" w:history="1">
              <w:r w:rsidRPr="00B51883">
                <w:rPr>
                  <w:rStyle w:val="Hyperlink"/>
                  <w:shd w:val="clear" w:color="auto" w:fill="E0FFFF"/>
                </w:rPr>
                <w:t>15. punktu</w:t>
              </w:r>
            </w:hyperlink>
            <w:r w:rsidRPr="00B51883">
              <w:t xml:space="preserve">, subjekts, kura īpašumā vai valdījumā esošās informācijas sistēmas vai tās daļas tiek uzturētas šajā datu centrā, divpadsmit (12) mēnešu laikā nodrošina Nacionāls </w:t>
            </w:r>
            <w:r w:rsidRPr="00B51883">
              <w:rPr>
                <w:rStyle w:val="scayt-misspell-word"/>
              </w:rPr>
              <w:t>kiberdrošības</w:t>
            </w:r>
            <w:r w:rsidRPr="00B51883">
              <w:t xml:space="preserve"> likumā noteiktās datu centru </w:t>
            </w:r>
            <w:r w:rsidRPr="00B51883">
              <w:rPr>
                <w:rStyle w:val="scayt-misspell-word"/>
              </w:rPr>
              <w:t>kiberdrošības</w:t>
            </w:r>
            <w:r w:rsidRPr="00B51883">
              <w:t xml:space="preserve"> prasības. Nacionālais </w:t>
            </w:r>
            <w:r w:rsidRPr="00B51883">
              <w:rPr>
                <w:rStyle w:val="scayt-misspell-word"/>
              </w:rPr>
              <w:t>kiberdrošības</w:t>
            </w:r>
            <w:r w:rsidRPr="00B51883">
              <w:t xml:space="preserve"> centrs var pastiprināti uzraudzīt subjektu šajā laika periodā, lai pārliecinātos, ka atbilstošās informācijas sistēmas vai tās daļas pārcelšana, tiek veikta atbilstoši Nacionāls </w:t>
            </w:r>
            <w:r w:rsidRPr="00B51883">
              <w:rPr>
                <w:rStyle w:val="scayt-misspell-word"/>
              </w:rPr>
              <w:t>kiberdrošības</w:t>
            </w:r>
            <w:r w:rsidRPr="00B51883">
              <w:t xml:space="preserve"> likumā noteiktajām prasībām un nerada apdraudējumu valsts pārvaldes pakalpojumu sniegšanai, valsts uzdevumu vai citu valsts mērķu un pasākumu īstenošanai."</w:t>
            </w:r>
          </w:p>
        </w:tc>
      </w:tr>
      <w:tr w:rsidR="006E22FB" w:rsidRPr="00B51883" w14:paraId="339E8BC5" w14:textId="77777777">
        <w:tc>
          <w:tcPr>
            <w:tcW w:w="750" w:type="dxa"/>
            <w:vMerge/>
            <w:shd w:val="clear" w:color="auto" w:fill="FFFFFF"/>
            <w:noWrap/>
            <w:tcMar>
              <w:top w:w="75" w:type="dxa"/>
              <w:left w:w="75" w:type="dxa"/>
              <w:bottom w:w="75" w:type="dxa"/>
              <w:right w:w="75" w:type="dxa"/>
            </w:tcMar>
            <w:vAlign w:val="center"/>
          </w:tcPr>
          <w:p w14:paraId="0C6A3067"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60CF9AD6"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1773DF28" w14:textId="5D95C6F6" w:rsidR="006E22FB" w:rsidRPr="00B51883" w:rsidRDefault="006E22FB" w:rsidP="008F08CC">
            <w:pPr>
              <w:jc w:val="left"/>
            </w:pPr>
            <w:r w:rsidRPr="00B51883">
              <w:t>8. Iebilstam pret Noteikumu projekta 1.pielikuma 2.punktu.</w:t>
            </w:r>
            <w:r w:rsidRPr="00B51883">
              <w:br/>
            </w:r>
            <w:r w:rsidRPr="00B51883">
              <w:rPr>
                <w:b/>
              </w:rPr>
              <w:t>Pamatojums:</w:t>
            </w:r>
            <w:r w:rsidRPr="00B51883">
              <w:br/>
              <w:t>Noteikumu projekta 1.pielikuma 2.punkts nosaka organizatoriskās prasības personāla apmācībai: Ne retāk kā reizi sešos mēnešos drošības apmācības, kas ietver krīžu vadību un datu aizsardzību. Apmācībās tiek ietverti arī praktiskie treniņi, kuros simulēti sarežģīti incidenti, piemēram, sarežģīti pastāvīgie draudi (APT) vai datu noplūdes. Treniņos iegūtie rezultāti tiek rūpīgi dokumentēti un analizēti, lai identificētu iespējamās vājās vietas drošības procedūrās. Pamatojoties uz šiem rezultātiem, tiek izstrādāti korekcijas pasākumi un organizētas papildu apmācības, ja nepieciešams.</w:t>
            </w:r>
            <w:r w:rsidRPr="00B51883">
              <w:br/>
              <w:t>Nepieciešams precizēt Noteikumu projekta 1.pielikumā:</w:t>
            </w:r>
            <w:r w:rsidRPr="00B51883">
              <w:br/>
              <w:t>1) Kas tieši tiek saprasts ar terminu “krīžu vadība” datu centra infrastruktūras gadījumā?</w:t>
            </w:r>
            <w:r w:rsidRPr="00B51883">
              <w:br/>
              <w:t xml:space="preserve">2) Kādu tieši “datu” aizsardzība </w:t>
            </w:r>
            <w:r w:rsidRPr="00B51883">
              <w:lastRenderedPageBreak/>
              <w:t>datu centra infrastruktūrā ir jāparedz?</w:t>
            </w:r>
            <w:r w:rsidRPr="00B51883">
              <w:br/>
            </w:r>
            <w:r w:rsidRPr="00B51883">
              <w:rPr>
                <w:b/>
              </w:rPr>
              <w:t>Priekšlikums:</w:t>
            </w:r>
            <w:r w:rsidRPr="00B51883">
              <w:br/>
              <w:t>Nepieciešams precizēt Noteikumu projektu.</w:t>
            </w:r>
          </w:p>
        </w:tc>
        <w:tc>
          <w:tcPr>
            <w:tcW w:w="1650" w:type="dxa"/>
            <w:shd w:val="clear" w:color="auto" w:fill="FFFFFF"/>
            <w:noWrap/>
            <w:tcMar>
              <w:top w:w="75" w:type="dxa"/>
              <w:left w:w="75" w:type="dxa"/>
              <w:bottom w:w="75" w:type="dxa"/>
              <w:right w:w="75" w:type="dxa"/>
            </w:tcMar>
            <w:vAlign w:val="center"/>
          </w:tcPr>
          <w:p w14:paraId="5344CC16" w14:textId="2B01EAAF"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3744C83B" w14:textId="0918988C" w:rsidR="006E22FB" w:rsidRPr="00B51883" w:rsidRDefault="006E22FB" w:rsidP="00B608C7">
            <w:pPr>
              <w:jc w:val="left"/>
            </w:pPr>
            <w:r w:rsidRPr="00B51883">
              <w:t>Precizēta "krīžu vadība" un "datu aizsardzība" kontekstā ar datu centra infrastruktūru.</w:t>
            </w:r>
          </w:p>
          <w:p w14:paraId="405308B2" w14:textId="77777777" w:rsidR="006E22FB" w:rsidRPr="00B51883" w:rsidRDefault="006E22FB" w:rsidP="00B608C7">
            <w:pPr>
              <w:jc w:val="left"/>
            </w:pPr>
            <w:r w:rsidRPr="00B51883">
              <w:t>jaunajā 1. pielikuma 2. punkta redakcijā ir precizēti termini "krīžu vadība" un "datu aizsardzība", sniedzot skaidrojumu par to attiecināmību datu centra infrastruktūras kontekstā.</w:t>
            </w:r>
          </w:p>
          <w:p w14:paraId="4C816583" w14:textId="77777777" w:rsidR="006E22FB" w:rsidRPr="00B51883" w:rsidRDefault="006E22FB" w:rsidP="00B608C7">
            <w:pPr>
              <w:jc w:val="left"/>
            </w:pPr>
          </w:p>
          <w:p w14:paraId="1B202C0F" w14:textId="6D31089D" w:rsidR="006E22FB" w:rsidRPr="00B51883" w:rsidRDefault="006E22FB" w:rsidP="00B608C7">
            <w:pPr>
              <w:jc w:val="left"/>
            </w:pPr>
            <w:r w:rsidRPr="00B51883">
              <w:t>Precizēts "krīžu vadības" jēdziens, norādot, ka tas attiecas uz datu centra infrastruktūras nepārtrauktības un drošības nodrošināšanu, reaģējot uz fiziskiem, loģiskiem vai organizatoriskiem incidentiem..</w:t>
            </w:r>
          </w:p>
          <w:p w14:paraId="3C46EA48" w14:textId="77777777" w:rsidR="006E22FB" w:rsidRPr="00B51883" w:rsidRDefault="006E22FB" w:rsidP="00B608C7">
            <w:pPr>
              <w:jc w:val="left"/>
            </w:pPr>
          </w:p>
          <w:p w14:paraId="11563792" w14:textId="184F9D5F" w:rsidR="006E22FB" w:rsidRPr="00B51883" w:rsidRDefault="006E22FB" w:rsidP="00AB5FA0">
            <w:pPr>
              <w:jc w:val="left"/>
            </w:pPr>
            <w:r w:rsidRPr="00B51883">
              <w:t>Precizēts "datu aizsardzības" jēdziens, nosakot, ka tas ietver klientu datus, operatīvo infrastruktūras datus un drošības konfigurāciju datus.</w:t>
            </w:r>
          </w:p>
        </w:tc>
      </w:tr>
      <w:tr w:rsidR="006E22FB" w:rsidRPr="00B51883" w14:paraId="68EC5EF0" w14:textId="77777777">
        <w:tc>
          <w:tcPr>
            <w:tcW w:w="750" w:type="dxa"/>
            <w:vMerge/>
            <w:shd w:val="clear" w:color="auto" w:fill="FFFFFF"/>
            <w:noWrap/>
            <w:tcMar>
              <w:top w:w="75" w:type="dxa"/>
              <w:left w:w="75" w:type="dxa"/>
              <w:bottom w:w="75" w:type="dxa"/>
              <w:right w:w="75" w:type="dxa"/>
            </w:tcMar>
            <w:vAlign w:val="center"/>
          </w:tcPr>
          <w:p w14:paraId="443507A3"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4172DF3E"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6EEB1DFE" w14:textId="2930505B" w:rsidR="006E22FB" w:rsidRPr="00B51883" w:rsidRDefault="006E22FB" w:rsidP="008F08CC">
            <w:pPr>
              <w:jc w:val="left"/>
            </w:pPr>
            <w:r w:rsidRPr="00B51883">
              <w:t>9. Iebilstam pret Noteikumu projekta 1.pielikuma 3.punktu.</w:t>
            </w:r>
            <w:r w:rsidRPr="00B51883">
              <w:br/>
            </w:r>
            <w:r w:rsidRPr="00B51883">
              <w:rPr>
                <w:b/>
              </w:rPr>
              <w:t>Pamatojums:</w:t>
            </w:r>
            <w:r w:rsidRPr="00B51883">
              <w:br/>
              <w:t xml:space="preserve">Noteikumu projekta 1.pielikuma 3.punkts nosaka organizatoriskās prasības fiziskajai piekļuves kontrolei: Fiziskā piekļuve nodrošināta, izmantojot daudzfaktoru autentifikāciju (biometriskā autentifikācija apvienojumā ar radiofrekvences identifikācijas (RFID) karti vai personisko identifikācijas numuru (PIN kodu)). Autentifikācijas dati tiek droši šifrēti un glabāti atbilstoši spēkā esošajiem datu aizsardzības normatīvajiem aktiem. Visi piekļuves mēģinājumi tiek reģistrēti, dokumentēti un pastāvīgi uzraudzīti. Papildus tiek nodrošināta pastāvīga fiziskā </w:t>
            </w:r>
            <w:r w:rsidRPr="00B51883">
              <w:lastRenderedPageBreak/>
              <w:t>apsardze un uzraudzība, kas veic regulāru apgaitu un reaģē uz aizdomīgiem piekļuves mēģinājumiem vai incidentiem. Pieejas reģistri tiek glabāti vismaz piecus gadus.</w:t>
            </w:r>
            <w:r w:rsidRPr="00B51883">
              <w:br/>
            </w:r>
            <w:r w:rsidRPr="00B51883">
              <w:br/>
              <w:t>Noteikumu projekta 1.pielikuma 3.punkts satur atsevišķas neskaidrības:</w:t>
            </w:r>
            <w:r w:rsidRPr="00B51883">
              <w:br/>
              <w:t>- Kāpēc ir jānodrošina tieši biometriskā autentifikācija, jo datu centra standarti (piem., EN50600) fiziskās piekļuves prasībās definē ar citiem drošības terminiem – vienfaktoru, divfaktoru vai trīsfaktoru autentifikācija, atkarība no datu centra telpu zonējuma klasifikācijas (jo augstāk drošības zona, jo lielāks faktoru skaits tiek izmantots piekļuves kontroles nodrošināšanai).</w:t>
            </w:r>
            <w:r w:rsidRPr="00B51883">
              <w:br/>
              <w:t>- Nav norādīta būtiska prasība, kur šie autentifikācijas dati drīkst uzglabāties – šajā datu centrā vai arī kāda citā lokācijas vietā (piem., citā ēkā, citā datu centrā).</w:t>
            </w:r>
            <w:r w:rsidRPr="00B51883">
              <w:br/>
              <w:t xml:space="preserve">- Pieminētā apsardzes metodika ar </w:t>
            </w:r>
            <w:r w:rsidRPr="00B51883">
              <w:lastRenderedPageBreak/>
              <w:t>apgaitām visā datu centra teritorijā nav atbilstoša mūsdienu drošības un tehnoloģiskajiem standartiem, jo visbiežāk netiek paredzētas tiesības apsardzes personālam iekļūt atsevišķās datu centra telpās, it īpaši gadījumos, ja šo funkciju veic ārpakalpojuma nodrošinātājs. Bieži vien apsardzes funkciju nodrošina tikai viens apsargs un viņam dežūras laikā ir kategoriski aizliegts atstāt apsardzes telpas, kontroli veicot TIKAI ar pareizi izveidotiem tehniskiem līdzekļiem un risinājumiem.</w:t>
            </w:r>
            <w:r w:rsidRPr="00B51883">
              <w:br/>
              <w:t xml:space="preserve">-- </w:t>
            </w:r>
            <w:r w:rsidRPr="00B51883">
              <w:rPr>
                <w:u w:val="single"/>
              </w:rPr>
              <w:t>Šis prasību 3.punkts ir pretrunā</w:t>
            </w:r>
            <w:r w:rsidRPr="00B51883">
              <w:t xml:space="preserve"> ar 1. pielikuma IV. sadaļas 16.punktu, kurā noteikts, ka apsardze var arī nebūt pastāvīga, bet “…tiek nodrošināts, ka reakcijas laiks pēc incidenta atklāšanas nepārsniedz 15 minūtes, kurā </w:t>
            </w:r>
            <w:r w:rsidRPr="00B51883">
              <w:rPr>
                <w:u w:val="single"/>
              </w:rPr>
              <w:t>apsardzes personāls ierodas objektā</w:t>
            </w:r>
            <w:r w:rsidRPr="00B51883">
              <w:t>”</w:t>
            </w:r>
            <w:r w:rsidRPr="00B51883">
              <w:br/>
              <w:t xml:space="preserve">- Kā jāsaprot termins </w:t>
            </w:r>
            <w:r w:rsidRPr="00B51883">
              <w:rPr>
                <w:b/>
              </w:rPr>
              <w:t>“Pieejas reģistri”.</w:t>
            </w:r>
            <w:r w:rsidRPr="00B51883">
              <w:t xml:space="preserve"> Šāds termins nozares standartos netiek izmantots. </w:t>
            </w:r>
            <w:r w:rsidRPr="00B51883">
              <w:lastRenderedPageBreak/>
              <w:t>Varbūt tomēr tā ir domāta “Piekļuves kontroles sistēma” un tās žurnālfaili vai kādi cita informācija?</w:t>
            </w:r>
            <w:r w:rsidRPr="00B51883">
              <w:br/>
            </w:r>
          </w:p>
        </w:tc>
        <w:tc>
          <w:tcPr>
            <w:tcW w:w="1650" w:type="dxa"/>
            <w:shd w:val="clear" w:color="auto" w:fill="FFFFFF"/>
            <w:noWrap/>
            <w:tcMar>
              <w:top w:w="75" w:type="dxa"/>
              <w:left w:w="75" w:type="dxa"/>
              <w:bottom w:w="75" w:type="dxa"/>
              <w:right w:w="75" w:type="dxa"/>
            </w:tcMar>
            <w:vAlign w:val="center"/>
          </w:tcPr>
          <w:p w14:paraId="4CEA9C9F" w14:textId="45FF8989"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1C4694AB" w14:textId="774C185E" w:rsidR="006E22FB" w:rsidRPr="00B51883" w:rsidRDefault="006E22FB" w:rsidP="00091663">
            <w:pPr>
              <w:jc w:val="left"/>
            </w:pPr>
            <w:r w:rsidRPr="00B51883">
              <w:t>1. pielikuma 3. punkta redakcijā ir precizēti autentifikācijas un fiziskās piekļuves kontroles mehānismi, lai tie atbilstu nozares standartiem un nodrošinātu elastību autentifikācijas līdzekļu izvēlē atkarībā no drošības zonējuma.</w:t>
            </w:r>
          </w:p>
          <w:p w14:paraId="648009B3" w14:textId="3D4FD8EB" w:rsidR="006E22FB" w:rsidRPr="00B51883" w:rsidRDefault="006E22FB" w:rsidP="00091663">
            <w:pPr>
              <w:jc w:val="left"/>
            </w:pPr>
            <w:r w:rsidRPr="00B51883">
              <w:t>Biometriskā autentifikācija vairs nav obligāta prasība, bet tiek iekļauta kā viens no iespējamiem autentifikācijas risinājumiem. Tas atbilst nozares standartu pieejai (piemēram, EN 50600), kur tiek noteikts autentifikācijas prasību līmenis atkarībā no drošības zonas, nevis obligāts autentifikācijas veids.</w:t>
            </w:r>
          </w:p>
          <w:p w14:paraId="03AA538C" w14:textId="3B417222" w:rsidR="006E22FB" w:rsidRPr="00B51883" w:rsidRDefault="006E22FB" w:rsidP="00091663">
            <w:pPr>
              <w:jc w:val="left"/>
            </w:pPr>
            <w:r w:rsidRPr="00B51883">
              <w:t xml:space="preserve">Ieviests drošības zonējuma modelis (zemas, vidējas un augstas drošības zonas), kas ļauj pielāgot autentifikācijas prasības </w:t>
            </w:r>
            <w:r w:rsidRPr="00B51883">
              <w:lastRenderedPageBreak/>
              <w:t>atbilstoši datu centra telpu klasifikācijai.</w:t>
            </w:r>
          </w:p>
          <w:p w14:paraId="3853D0D7" w14:textId="58C4561F" w:rsidR="006E22FB" w:rsidRPr="00B51883" w:rsidRDefault="006E22FB" w:rsidP="009C7A91">
            <w:pPr>
              <w:pStyle w:val="ListParagraph"/>
              <w:numPr>
                <w:ilvl w:val="0"/>
                <w:numId w:val="3"/>
              </w:numPr>
              <w:jc w:val="left"/>
            </w:pPr>
            <w:r w:rsidRPr="00B51883">
              <w:t>Zemas drošības zonai tiek prasīta vismaz vienfaktora autentifikācija.</w:t>
            </w:r>
          </w:p>
          <w:p w14:paraId="027F9DAD" w14:textId="7F28BFF2" w:rsidR="006E22FB" w:rsidRPr="00B51883" w:rsidRDefault="006E22FB" w:rsidP="009C7A91">
            <w:pPr>
              <w:pStyle w:val="ListParagraph"/>
              <w:numPr>
                <w:ilvl w:val="0"/>
                <w:numId w:val="3"/>
              </w:numPr>
              <w:jc w:val="left"/>
            </w:pPr>
            <w:r w:rsidRPr="00B51883">
              <w:t>Vidējas drošības zonai – divfaktoru autentifikācija, kur viena no iespējām ir biometriskie dati.</w:t>
            </w:r>
          </w:p>
          <w:p w14:paraId="74D0B9F4" w14:textId="59589B34" w:rsidR="006E22FB" w:rsidRPr="00B51883" w:rsidRDefault="006E22FB" w:rsidP="009C7A91">
            <w:pPr>
              <w:pStyle w:val="ListParagraph"/>
              <w:numPr>
                <w:ilvl w:val="0"/>
                <w:numId w:val="3"/>
              </w:numPr>
              <w:jc w:val="left"/>
            </w:pPr>
            <w:r w:rsidRPr="00B51883">
              <w:t>Augstas drošības zonai – trīsfaktoru autentifikācija, nodrošinot stingrāku piekļuves kontroli.</w:t>
            </w:r>
          </w:p>
          <w:p w14:paraId="2FA8B0D9" w14:textId="52042B2D" w:rsidR="006E22FB" w:rsidRPr="00B51883" w:rsidRDefault="006E22FB" w:rsidP="00091663">
            <w:pPr>
              <w:jc w:val="left"/>
            </w:pPr>
            <w:r w:rsidRPr="00B51883">
              <w:t>Precizēta autentifikācijas datu glabāšana un aizsardzība, norādot, ka šifrēšana un uzglabāšana jāveic atbilstoši Ministru kabineta noteikumiem par minimālajām kiberdrošības prasībām, kas attiecas uz paaugstinātas drošības informācijas sistēmām.</w:t>
            </w:r>
          </w:p>
          <w:p w14:paraId="28CA2E9A" w14:textId="7C9FD217" w:rsidR="006E22FB" w:rsidRPr="00B51883" w:rsidRDefault="006E22FB" w:rsidP="00091663">
            <w:pPr>
              <w:jc w:val="left"/>
            </w:pPr>
            <w:r w:rsidRPr="00B51883">
              <w:t xml:space="preserve">Apsardzes uzraudzība un kontrole prasība ir mainīta, norādot, ka tās veikšanai var tikt izmantoti mūsdienīgi tehnoloģiskie risinājumi, piemēram, videonovērošana, piekļuves </w:t>
            </w:r>
            <w:r w:rsidRPr="00B51883">
              <w:lastRenderedPageBreak/>
              <w:t xml:space="preserve">kontroles sistēmas un attālinātā apsardze, nevis tikai apgaitas klātienē. </w:t>
            </w:r>
          </w:p>
          <w:p w14:paraId="5F8769A2" w14:textId="4527074A" w:rsidR="006E22FB" w:rsidRPr="00B51883" w:rsidRDefault="006E22FB" w:rsidP="00091663">
            <w:pPr>
              <w:jc w:val="left"/>
            </w:pPr>
            <w:r w:rsidRPr="00B51883">
              <w:t>Aizstāts termins "Pieejas reģistri" ar " Apmeklētāju reģistrācijas žurnāli un fiziskās piekļūšanas kontroles sistēmas dati un tās žurnālfaili".</w:t>
            </w:r>
          </w:p>
        </w:tc>
      </w:tr>
      <w:tr w:rsidR="006E22FB" w:rsidRPr="00B51883" w14:paraId="20B50E7E" w14:textId="77777777">
        <w:tc>
          <w:tcPr>
            <w:tcW w:w="750" w:type="dxa"/>
            <w:vMerge/>
            <w:shd w:val="clear" w:color="auto" w:fill="FFFFFF"/>
            <w:noWrap/>
            <w:tcMar>
              <w:top w:w="75" w:type="dxa"/>
              <w:left w:w="75" w:type="dxa"/>
              <w:bottom w:w="75" w:type="dxa"/>
              <w:right w:w="75" w:type="dxa"/>
            </w:tcMar>
            <w:vAlign w:val="center"/>
          </w:tcPr>
          <w:p w14:paraId="0F99256B"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013D3239"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23BC589A" w14:textId="7568A719" w:rsidR="006E22FB" w:rsidRPr="00B51883" w:rsidRDefault="006E22FB" w:rsidP="008F08CC">
            <w:pPr>
              <w:jc w:val="left"/>
            </w:pPr>
            <w:r w:rsidRPr="00B51883">
              <w:t>3. punktā nav norādītas prasības arī transportlīdzekļu fiziskās kontroles nodrošināšanai, jo datu centra ārējā perimetra robežai ir jāsākas no ārējās teritorijas norobežojuma (tajā skaitā personāla un transporta vārtiem, paredzot arī transportlīdzekļu numurzīmju atpazīšanu).</w:t>
            </w:r>
            <w:r w:rsidRPr="00B51883">
              <w:br/>
              <w:t>-- “Fiziskā piekļuve nodrošināta, izmantojot daudzfaktoru autentifikāciju” – nav norādīts kam tieši. Vai serveru telpai?</w:t>
            </w:r>
            <w:r w:rsidRPr="00B51883">
              <w:br/>
            </w:r>
            <w:r w:rsidRPr="00B51883">
              <w:rPr>
                <w:b/>
              </w:rPr>
              <w:t>Priekšlikums:</w:t>
            </w:r>
            <w:r w:rsidRPr="00B51883">
              <w:br/>
              <w:t>Precizēt Noteikumu projekta 1.pielikuma 3.punktu atbilstoši norādītajiem neskaidrajiem jautājumiem.</w:t>
            </w:r>
          </w:p>
        </w:tc>
        <w:tc>
          <w:tcPr>
            <w:tcW w:w="1650" w:type="dxa"/>
            <w:shd w:val="clear" w:color="auto" w:fill="FFFFFF"/>
            <w:noWrap/>
            <w:tcMar>
              <w:top w:w="75" w:type="dxa"/>
              <w:left w:w="75" w:type="dxa"/>
              <w:bottom w:w="75" w:type="dxa"/>
              <w:right w:w="75" w:type="dxa"/>
            </w:tcMar>
            <w:vAlign w:val="center"/>
          </w:tcPr>
          <w:p w14:paraId="0B9FBFA7" w14:textId="131FFE8B" w:rsidR="006E22FB" w:rsidRPr="00B51883" w:rsidRDefault="006E22FB" w:rsidP="008F08CC">
            <w:pPr>
              <w:jc w:val="left"/>
            </w:pPr>
            <w:r w:rsidRPr="00B51883">
              <w:rPr>
                <w:bCs/>
              </w:rPr>
              <w:t>ņemts vērā</w:t>
            </w:r>
          </w:p>
        </w:tc>
        <w:tc>
          <w:tcPr>
            <w:tcW w:w="4056" w:type="dxa"/>
            <w:shd w:val="clear" w:color="auto" w:fill="FFFFFF"/>
            <w:noWrap/>
            <w:tcMar>
              <w:top w:w="75" w:type="dxa"/>
              <w:left w:w="75" w:type="dxa"/>
              <w:bottom w:w="75" w:type="dxa"/>
              <w:right w:w="75" w:type="dxa"/>
            </w:tcMar>
            <w:vAlign w:val="center"/>
          </w:tcPr>
          <w:p w14:paraId="6404D731" w14:textId="1799FF25" w:rsidR="006E22FB" w:rsidRPr="00B51883" w:rsidRDefault="006E22FB" w:rsidP="008F08CC">
            <w:pPr>
              <w:jc w:val="left"/>
            </w:pPr>
            <w:r w:rsidRPr="00B51883">
              <w:t>Pievienota prasība attiecībā uz transportlīdzekļu kontroli, nosakot, ka perimetrā tiek reģistrēta transportlīdzekļu kustība, norādot transportlīdzekļa numuru, laiku un vadītāja identitāti, ja tas ir datu centra apmeklētājs..</w:t>
            </w:r>
          </w:p>
          <w:p w14:paraId="28C055A2" w14:textId="77777777" w:rsidR="006E22FB" w:rsidRPr="00B51883" w:rsidRDefault="006E22FB" w:rsidP="00BA587D">
            <w:pPr>
              <w:jc w:val="left"/>
            </w:pPr>
            <w:r w:rsidRPr="00B51883">
              <w:t>Ieviests drošības zonējuma modelis (zemas, vidējas un augstas drošības zonas), kas ļauj pielāgot autentifikācijas prasības atbilstoši datu centra telpu klasifikācijai.</w:t>
            </w:r>
          </w:p>
          <w:p w14:paraId="75A1F1BA" w14:textId="77777777" w:rsidR="006E22FB" w:rsidRPr="00B51883" w:rsidRDefault="006E22FB" w:rsidP="00BA587D">
            <w:pPr>
              <w:pStyle w:val="ListParagraph"/>
              <w:numPr>
                <w:ilvl w:val="0"/>
                <w:numId w:val="3"/>
              </w:numPr>
              <w:jc w:val="left"/>
            </w:pPr>
            <w:r w:rsidRPr="00B51883">
              <w:t>Zemas drošības zonai tiek prasīta vismaz vienfaktora autentifikācija.</w:t>
            </w:r>
          </w:p>
          <w:p w14:paraId="60C37084" w14:textId="77777777" w:rsidR="006E22FB" w:rsidRPr="00B51883" w:rsidRDefault="006E22FB" w:rsidP="00BA587D">
            <w:pPr>
              <w:pStyle w:val="ListParagraph"/>
              <w:numPr>
                <w:ilvl w:val="0"/>
                <w:numId w:val="3"/>
              </w:numPr>
              <w:jc w:val="left"/>
            </w:pPr>
            <w:r w:rsidRPr="00B51883">
              <w:t>Vidējas drošības zonai – divfaktoru autentifikācija, kur viena no iespējām ir biometriskie dati.</w:t>
            </w:r>
          </w:p>
          <w:p w14:paraId="0A880F06" w14:textId="55ADB9F5" w:rsidR="006E22FB" w:rsidRPr="00B51883" w:rsidRDefault="006E22FB" w:rsidP="008F08CC">
            <w:pPr>
              <w:pStyle w:val="ListParagraph"/>
              <w:numPr>
                <w:ilvl w:val="0"/>
                <w:numId w:val="3"/>
              </w:numPr>
              <w:jc w:val="left"/>
            </w:pPr>
            <w:r w:rsidRPr="00B51883">
              <w:lastRenderedPageBreak/>
              <w:t>Augstas drošības zonai – trīsfaktoru autentifikācija, nodrošinot stingrāku piekļuves kontroli.</w:t>
            </w:r>
          </w:p>
        </w:tc>
      </w:tr>
      <w:tr w:rsidR="006E22FB" w:rsidRPr="00B51883" w14:paraId="79C0F911" w14:textId="77777777">
        <w:tc>
          <w:tcPr>
            <w:tcW w:w="750" w:type="dxa"/>
            <w:vMerge/>
            <w:shd w:val="clear" w:color="auto" w:fill="FFFFFF"/>
            <w:noWrap/>
            <w:tcMar>
              <w:top w:w="75" w:type="dxa"/>
              <w:left w:w="75" w:type="dxa"/>
              <w:bottom w:w="75" w:type="dxa"/>
              <w:right w:w="75" w:type="dxa"/>
            </w:tcMar>
            <w:vAlign w:val="center"/>
          </w:tcPr>
          <w:p w14:paraId="19E8B013"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0EB7788F"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2F98CD82" w14:textId="160FB5EB" w:rsidR="006E22FB" w:rsidRPr="00B51883" w:rsidRDefault="006E22FB" w:rsidP="008F08CC">
            <w:pPr>
              <w:jc w:val="left"/>
            </w:pPr>
            <w:r w:rsidRPr="00B51883">
              <w:t>10. Iebilstam pret Noteikumu projekta 1.pielikuma 4.punktu.</w:t>
            </w:r>
            <w:r w:rsidRPr="00B51883">
              <w:br/>
            </w:r>
            <w:r w:rsidRPr="00B51883">
              <w:rPr>
                <w:b/>
              </w:rPr>
              <w:t>Pamatojums</w:t>
            </w:r>
            <w:r w:rsidRPr="00B51883">
              <w:t>:</w:t>
            </w:r>
            <w:r w:rsidRPr="00B51883">
              <w:br/>
              <w:t>Noteikumu projekta 1.pielikuma 4.punkts nosaka organizatoriskās prasības drošības pārbaudēm: Regulāras, bet ne retāk kā reizi gadā, drošības pārbaudes, detalizēts drošības audits un risku analīze. Drošības pārbaudes veic neatkarīga ārējā trešā puse (sertificēts drošības auditors). Kiberdrošības pārvaldnieks var veikt starpposma pārbaudes un uzraudzību laika posmos starp ārējiem auditiem.</w:t>
            </w:r>
            <w:r w:rsidRPr="00B51883">
              <w:br/>
              <w:t>Noteikumu projekta 1.pielikuma 4.punkts satur daudz neskaidrību:</w:t>
            </w:r>
            <w:r w:rsidRPr="00B51883">
              <w:br/>
              <w:t>- Kā jāsaprot termins “</w:t>
            </w:r>
            <w:r w:rsidRPr="00B51883">
              <w:rPr>
                <w:b/>
              </w:rPr>
              <w:t>Drošības pārbaudes</w:t>
            </w:r>
            <w:r w:rsidRPr="00B51883">
              <w:t>”?</w:t>
            </w:r>
            <w:r w:rsidRPr="00B51883">
              <w:br/>
              <w:t xml:space="preserve">- Kādas datu centra infrastruktūras disciplīnas tās iekļauj – fizisko drošību, loģisko drošību, </w:t>
            </w:r>
            <w:r w:rsidRPr="00B51883">
              <w:lastRenderedPageBreak/>
              <w:t>telekomunikāciju drošību, datu centrā uzglabātās informācijas drošību, kiberdrošību?</w:t>
            </w:r>
            <w:r w:rsidRPr="00B51883">
              <w:br/>
              <w:t>- Atbilstoši kādam drošības standartam šīs drošības (pārbaudes) auditu veic sertificēts drošības auditors?</w:t>
            </w:r>
            <w:r w:rsidRPr="00B51883">
              <w:br/>
              <w:t>- Kādas tieši drošības sertifikācijas (datu centru, kiberdrošības, CISM, fiziskās drošības utt.) auditors nodrošina? Nozares prakse paredz, ka datu centra auditu veic auditori, ar noteiktu specifisko zināšanu kopumu tieši datu centru jomā, vai arī auditori no uzņēmuma ar ISO audita veikšanas tiesībām un kvalifikāciju, ja audits tiek veikts atbilstoši ISO standarta prasībām.</w:t>
            </w:r>
            <w:r w:rsidRPr="00B51883">
              <w:br/>
              <w:t xml:space="preserve">- Atbilstoši tikai šajā Noteikumu projektā iekļautajām prasībām to nevarēs veikt, jo šo prasību apjoms neatspoguļo vismaz to minimālo drošības prasību kopumu, ko paredz nozares standarti, piem., EN50600, atbilstoši to drošības jeb aizsardzības klasei </w:t>
            </w:r>
            <w:r w:rsidRPr="00B51883">
              <w:rPr>
                <w:i/>
              </w:rPr>
              <w:t>(“Protection Class 1-4”).</w:t>
            </w:r>
            <w:r w:rsidRPr="00B51883">
              <w:br/>
            </w:r>
            <w:r w:rsidRPr="00B51883">
              <w:rPr>
                <w:b/>
              </w:rPr>
              <w:lastRenderedPageBreak/>
              <w:t>Priekšlikums:</w:t>
            </w:r>
            <w:r w:rsidRPr="00B51883">
              <w:br/>
              <w:t>Precizēt Noteikumu projekta 1.pielikuma 4.punktu atbilstoši norādītajiem neskaidrajiem jautājumiem.</w:t>
            </w:r>
          </w:p>
        </w:tc>
        <w:tc>
          <w:tcPr>
            <w:tcW w:w="1650" w:type="dxa"/>
            <w:shd w:val="clear" w:color="auto" w:fill="FFFFFF"/>
            <w:noWrap/>
            <w:tcMar>
              <w:top w:w="75" w:type="dxa"/>
              <w:left w:w="75" w:type="dxa"/>
              <w:bottom w:w="75" w:type="dxa"/>
              <w:right w:w="75" w:type="dxa"/>
            </w:tcMar>
            <w:vAlign w:val="center"/>
          </w:tcPr>
          <w:p w14:paraId="1410B99D" w14:textId="42FE686A" w:rsidR="006E22FB" w:rsidRPr="00B51883" w:rsidRDefault="006E22FB" w:rsidP="008F08CC">
            <w:pPr>
              <w:jc w:val="left"/>
            </w:pPr>
            <w:r w:rsidRPr="00B51883">
              <w:rPr>
                <w:bCs/>
              </w:rPr>
              <w:lastRenderedPageBreak/>
              <w:t>ņemts vērā daļēji</w:t>
            </w:r>
          </w:p>
        </w:tc>
        <w:tc>
          <w:tcPr>
            <w:tcW w:w="4056" w:type="dxa"/>
            <w:shd w:val="clear" w:color="auto" w:fill="FFFFFF"/>
            <w:noWrap/>
            <w:tcMar>
              <w:top w:w="75" w:type="dxa"/>
              <w:left w:w="75" w:type="dxa"/>
              <w:bottom w:w="75" w:type="dxa"/>
              <w:right w:w="75" w:type="dxa"/>
            </w:tcMar>
            <w:vAlign w:val="center"/>
          </w:tcPr>
          <w:p w14:paraId="4AC4691A" w14:textId="77777777" w:rsidR="006E22FB" w:rsidRPr="00B51883" w:rsidRDefault="006E22FB" w:rsidP="007F500B">
            <w:pPr>
              <w:jc w:val="left"/>
            </w:pPr>
            <w:r w:rsidRPr="00B51883">
              <w:t>Precizēts 1. pielikuma 4. punkts precizējot, ka drošības pārbaudes ir tās, kuras veic, kvalificēs auditors vienu reizi divos gados jomās, kas noteiktas šajā pielikumā (Organizatoriskās prasības, Tehniskās prasības, Fiziskās drošības prasības, Pieejamības prasības, IKT pakalpojumu prasības). Papildus norādām, ka prasības kvalificēta auditora kvalifikācijai tiks noteiktas Ministra kabineta noteikumu projektā - Minimālās kiberdrošības prasības, bet pagaidām līdz to izsludināšanai prasības rekomendāciju formā noteiktas šo noteikumu anotācijā un vēlāk Nacionālā kiberdrošības centra oficiālajā tīmekļa vietnē.</w:t>
            </w:r>
          </w:p>
          <w:p w14:paraId="77068FED" w14:textId="77777777" w:rsidR="006E22FB" w:rsidRPr="00B51883" w:rsidRDefault="006E22FB" w:rsidP="007F500B">
            <w:pPr>
              <w:jc w:val="left"/>
            </w:pPr>
          </w:p>
          <w:p w14:paraId="60AD7727" w14:textId="4464DFA7" w:rsidR="006E22FB" w:rsidRPr="00B51883" w:rsidRDefault="006E22FB" w:rsidP="007F500B">
            <w:pPr>
              <w:jc w:val="left"/>
            </w:pPr>
            <w:r w:rsidRPr="00B51883">
              <w:t xml:space="preserve">Par “Atbilstoši tikai šajā Noteikumu projektā iekļautajām </w:t>
            </w:r>
            <w:r w:rsidRPr="00B51883">
              <w:lastRenderedPageBreak/>
              <w:t>prasībām to nevarēs veikt, jo šo prasību apjoms neatspoguļo vismaz to minimālo drošības prasību kopumu, ko paredz nozares standarti, piem., EN50600, atbilstoši to drošības jeb aizsardzības klasei (“Protection Class 1-4”)” paskaidrojam, ka šajos noteikumos iekļauto prasību mērķis nav dublēt kāda standarta noteiktās rīcībpolitikas vai prasības. Prasības kvalificētajiem auditoriem balstās uz starptautiski atzītu sertifikātu apstiprinātu kvalifikāciju. Un viņu kompetencē būs izvērtēt datu centru atbilstību šajā pielikumā noteiktajām prasībām (dalījums drošības zonās, enerģijas piegādes, dzesēšanas un citu risinājumu) atbilstoši pieredzei un zināšanām starptautiski piemērotajās praksēs.</w:t>
            </w:r>
          </w:p>
        </w:tc>
      </w:tr>
      <w:tr w:rsidR="006E22FB" w:rsidRPr="00B51883" w14:paraId="5C1CE81E" w14:textId="77777777">
        <w:tc>
          <w:tcPr>
            <w:tcW w:w="750" w:type="dxa"/>
            <w:vMerge/>
            <w:shd w:val="clear" w:color="auto" w:fill="FFFFFF"/>
            <w:noWrap/>
            <w:tcMar>
              <w:top w:w="75" w:type="dxa"/>
              <w:left w:w="75" w:type="dxa"/>
              <w:bottom w:w="75" w:type="dxa"/>
              <w:right w:w="75" w:type="dxa"/>
            </w:tcMar>
            <w:vAlign w:val="center"/>
          </w:tcPr>
          <w:p w14:paraId="38C07AEC"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4B387352"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4FACE47C" w14:textId="5C01A708" w:rsidR="006E22FB" w:rsidRPr="00B51883" w:rsidRDefault="006E22FB" w:rsidP="008F08CC">
            <w:pPr>
              <w:jc w:val="left"/>
            </w:pPr>
            <w:r w:rsidRPr="00B51883">
              <w:t>11. Iebilstam pret Noteikumu projekta 1.pielikuma 6.punktu.</w:t>
            </w:r>
            <w:r w:rsidRPr="00B51883">
              <w:br/>
            </w:r>
            <w:r w:rsidRPr="00B51883">
              <w:rPr>
                <w:b/>
              </w:rPr>
              <w:t>Pamatojums:</w:t>
            </w:r>
            <w:r w:rsidRPr="00B51883">
              <w:br/>
              <w:t>Noteikumu projekta 1.pielikuma 6.punkts nosaka organizatoriskās prasības dokumentācijas pārvaldībai: Ir izstrādāta detalizēta dokumentācijas pārvaldības sistēma, kas ietver visu drošības procedūru, apmācību un incidentu pārvaldības dokumentāciju, kas tiek pārskatīta un atjaunināta vismaz reizi sešos mēnešos.</w:t>
            </w:r>
            <w:r w:rsidRPr="00B51883">
              <w:br/>
              <w:t>Prasība veikt dokumentācijas atjaunošanu reizi 6 mēnešos ir nesamērīga un dokumentācijas atjaunošana ir jāveic tikai nepieciešamības gadījumā.  Pārskatīšana reizi 12 mēnešos ir līdzvērtīga starptautiskiem sertifikātiem, piemēram PCI-DSS.</w:t>
            </w:r>
            <w:r w:rsidRPr="00B51883">
              <w:br/>
            </w:r>
            <w:r w:rsidRPr="00B51883">
              <w:rPr>
                <w:b/>
              </w:rPr>
              <w:lastRenderedPageBreak/>
              <w:t>Priekšlikums:</w:t>
            </w:r>
            <w:r w:rsidRPr="00B51883">
              <w:br/>
              <w:t>Izteikt Noteikumu projekta 1.pielikuma 6.punktu šādā redakcijā:</w:t>
            </w:r>
            <w:r w:rsidRPr="00B51883">
              <w:br/>
              <w:t>“Dokumentācijas pārvaldība: Ir izstrādāta detalizēta dokumentācijas pārvaldības sistēma, kas ietver visu drošības procedūru, apmācību un incidentu pārvaldības dokumentāciju, kas tiek pārskatīta un vajadzības gadījumā atjaunināta vismaz reizi divpadsmit mēnešos”.</w:t>
            </w:r>
          </w:p>
        </w:tc>
        <w:tc>
          <w:tcPr>
            <w:tcW w:w="1650" w:type="dxa"/>
            <w:shd w:val="clear" w:color="auto" w:fill="FFFFFF"/>
            <w:noWrap/>
            <w:tcMar>
              <w:top w:w="75" w:type="dxa"/>
              <w:left w:w="75" w:type="dxa"/>
              <w:bottom w:w="75" w:type="dxa"/>
              <w:right w:w="75" w:type="dxa"/>
            </w:tcMar>
            <w:vAlign w:val="center"/>
          </w:tcPr>
          <w:p w14:paraId="36C63EC4" w14:textId="797F6E0D"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793A93B1" w14:textId="28ADDF09" w:rsidR="006E22FB" w:rsidRPr="00B51883" w:rsidRDefault="006E22FB" w:rsidP="00483E65">
            <w:pPr>
              <w:jc w:val="left"/>
            </w:pPr>
            <w:r w:rsidRPr="00B51883">
              <w:t>Priekšlikums ir ņemts vērā, un Noteikumu projekta 1. pielikuma 6. punkts ir precizēts, lai dokumentācijas pārvaldības prasības būtu samērīgas.</w:t>
            </w:r>
          </w:p>
          <w:p w14:paraId="5740EC87" w14:textId="77777777" w:rsidR="006E22FB" w:rsidRPr="00B51883" w:rsidRDefault="006E22FB" w:rsidP="00483E65">
            <w:pPr>
              <w:jc w:val="left"/>
            </w:pPr>
          </w:p>
          <w:p w14:paraId="6E62B73F" w14:textId="70BEE15D" w:rsidR="006E22FB" w:rsidRPr="00B51883" w:rsidRDefault="006E22FB" w:rsidP="00483E65">
            <w:pPr>
              <w:jc w:val="left"/>
            </w:pPr>
            <w:r w:rsidRPr="00B51883">
              <w:t>Jaunā redakcija nosaka, ka dokumentācijas pārskatīšana jāveic vismaz reizi divpadsmit mēnešos vai biežāk, ja tas ir nepieciešams atbilstoši organizācijas drošības vadības procesiem.</w:t>
            </w:r>
          </w:p>
        </w:tc>
      </w:tr>
      <w:tr w:rsidR="006E22FB" w:rsidRPr="00B51883" w14:paraId="3360895A" w14:textId="77777777">
        <w:tc>
          <w:tcPr>
            <w:tcW w:w="750" w:type="dxa"/>
            <w:vMerge/>
            <w:shd w:val="clear" w:color="auto" w:fill="FFFFFF"/>
            <w:noWrap/>
            <w:tcMar>
              <w:top w:w="75" w:type="dxa"/>
              <w:left w:w="75" w:type="dxa"/>
              <w:bottom w:w="75" w:type="dxa"/>
              <w:right w:w="75" w:type="dxa"/>
            </w:tcMar>
            <w:vAlign w:val="center"/>
          </w:tcPr>
          <w:p w14:paraId="0582B9D1"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031F4844"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62241B2A" w14:textId="1982007D" w:rsidR="006E22FB" w:rsidRPr="00B51883" w:rsidRDefault="006E22FB" w:rsidP="008F08CC">
            <w:pPr>
              <w:jc w:val="left"/>
            </w:pPr>
            <w:r w:rsidRPr="00B51883">
              <w:t>12. Iebilstam pret Noteikumu projekta 1.pielikuma 7.punktu.</w:t>
            </w:r>
            <w:r w:rsidRPr="00B51883">
              <w:br/>
            </w:r>
            <w:r w:rsidRPr="00B51883">
              <w:rPr>
                <w:b/>
              </w:rPr>
              <w:t>Pamatojums:</w:t>
            </w:r>
            <w:r w:rsidRPr="00B51883">
              <w:br/>
              <w:t xml:space="preserve">Noteikumu projekta 1.pielikuma 7.punkts nosaka organizatoriskās prasības darbinieku drošības pārbaudēm: Tiek veiktas regulāras darbinieku drošības pārbaudes vismaz reizi gadā, ietverot gan tehniskās, gan fiziskās drošības aspektus. Tehniskās drošības pārbaudes aptver kiberdrošības, datu aizsardzības un IKT sistēmu aizsardzības aspektus, savukārt </w:t>
            </w:r>
            <w:r w:rsidRPr="00B51883">
              <w:lastRenderedPageBreak/>
              <w:t>fiziskās drošības pārbaudes fokusējas uz drošības procedūrām un piekļuves kontroles prasmēm. Pārbaudes tiek veiktas pirms darbinieku pieņemšanas darbā un regulāri pēc tam, vismaz reizi divos gados, un to rezultāti tiek dokumentēti un analizēti.</w:t>
            </w:r>
            <w:r w:rsidRPr="00B51883">
              <w:br/>
              <w:t>Noteikumu projekta 1.pielikuma 7.punkts satur daudz neskaidrību:</w:t>
            </w:r>
            <w:r w:rsidRPr="00B51883">
              <w:br/>
              <w:t>- Drošības sfērā ar terminu “</w:t>
            </w:r>
            <w:r w:rsidRPr="00B51883">
              <w:rPr>
                <w:b/>
              </w:rPr>
              <w:t>Darbinieku drošības</w:t>
            </w:r>
            <w:r w:rsidRPr="00B51883">
              <w:t xml:space="preserve"> pārbaudes” saprot ko citu – tās ir veicamais topošā personāla skrīnings jeb dzīvesgājuma pārbaude, nedzēsto sodāmību pārbaude kompetentās iestādēs, izziņu no ārstniecības iestādēm par kaitīgo atkarību vai psihisko slimību neesamību, uzņēmuma definētu drošības prasību atbilstība utt.</w:t>
            </w:r>
            <w:r w:rsidRPr="00B51883">
              <w:br/>
              <w:t>- Kā punktā pieminētais termins “Darbinieku drošības pārbaudes” korelējas ar tekstā zemāk minēto “Tehniskās drošības pārbaudes”, kas ir aprakstītas kā infrastruktūras daļu drošības pārbaudes?</w:t>
            </w:r>
            <w:r w:rsidRPr="00B51883">
              <w:br/>
            </w:r>
            <w:r w:rsidRPr="00B51883">
              <w:lastRenderedPageBreak/>
              <w:t>- Nepieciešams skaidrojums par to, kas domāts ar regulējumu par fiziskās drošības pārbaudēm “…</w:t>
            </w:r>
            <w:r w:rsidRPr="00B51883">
              <w:rPr>
                <w:b/>
              </w:rPr>
              <w:t>piekļuves kontroles prasmēm</w:t>
            </w:r>
            <w:r w:rsidRPr="00B51883">
              <w:t>”. Fiziskās piekļuves tiesību pārvaldība jebkurā datu centrā tiek organizēta tādā veidā, ka darbinieki ar izsniegtajiem identifikācijas līdzekļiem piekļūst tikai tām zonām, kurām tas ir atļauts, un citām nepiekļūst. Līdz ar to nav saprotams šī “prasmju” kritērija pielietošana pārbaužu veikšanā.</w:t>
            </w:r>
            <w:r w:rsidRPr="00B51883">
              <w:br/>
              <w:t>- Uz kuriem darbiniekiem attiecās šīs drošības pārbaudes? Vai visiem, kas strādā organizācijā vai tikai tiem, kas tiešā veidā nodrošina datu centru darbību?</w:t>
            </w:r>
            <w:r w:rsidRPr="00B51883">
              <w:br/>
            </w:r>
            <w:r w:rsidRPr="00B51883">
              <w:rPr>
                <w:b/>
              </w:rPr>
              <w:t>Priekšlikums:</w:t>
            </w:r>
            <w:r w:rsidRPr="00B51883">
              <w:br/>
              <w:t>Precizēt Noteikumu projekta 1.pielikuma 7.punktu atbilstoši norādītajiem neskaidrajiem jautājumiem.</w:t>
            </w:r>
          </w:p>
        </w:tc>
        <w:tc>
          <w:tcPr>
            <w:tcW w:w="1650" w:type="dxa"/>
            <w:shd w:val="clear" w:color="auto" w:fill="FFFFFF"/>
            <w:noWrap/>
            <w:tcMar>
              <w:top w:w="75" w:type="dxa"/>
              <w:left w:w="75" w:type="dxa"/>
              <w:bottom w:w="75" w:type="dxa"/>
              <w:right w:w="75" w:type="dxa"/>
            </w:tcMar>
            <w:vAlign w:val="center"/>
          </w:tcPr>
          <w:p w14:paraId="1E32F886" w14:textId="1D48457B"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6AED353A" w14:textId="77777777" w:rsidR="006E22FB" w:rsidRPr="00B51883" w:rsidRDefault="006E22FB" w:rsidP="0093767A">
            <w:pPr>
              <w:jc w:val="left"/>
            </w:pPr>
            <w:r w:rsidRPr="00B51883">
              <w:t>Noteikumu projekta 1. pielikuma 7. punkts ir precizēts, lai novērstu neskaidrības attiecībā uz darbinieku drošības pārbaužu saturu, biežumu un piemērošanas tvērumu.</w:t>
            </w:r>
          </w:p>
          <w:p w14:paraId="291FDAE6" w14:textId="77777777" w:rsidR="006E22FB" w:rsidRPr="00B51883" w:rsidRDefault="006E22FB" w:rsidP="0093767A">
            <w:pPr>
              <w:jc w:val="left"/>
            </w:pPr>
          </w:p>
          <w:p w14:paraId="461D6187" w14:textId="77777777" w:rsidR="006E22FB" w:rsidRPr="00B51883" w:rsidRDefault="006E22FB" w:rsidP="0093767A">
            <w:pPr>
              <w:jc w:val="left"/>
            </w:pPr>
            <w:r w:rsidRPr="00B51883">
              <w:t>Jaunā redakcija precizē:</w:t>
            </w:r>
          </w:p>
          <w:p w14:paraId="703345D1" w14:textId="77777777" w:rsidR="006E22FB" w:rsidRPr="00B51883" w:rsidRDefault="006E22FB" w:rsidP="0093767A">
            <w:pPr>
              <w:jc w:val="left"/>
            </w:pPr>
            <w:r w:rsidRPr="00B51883">
              <w:t>Darbinieku drošības pārbaužu atšķirību pirms pieņemšanas darbā un regulāru pārbaužu ietvaros.</w:t>
            </w:r>
          </w:p>
          <w:p w14:paraId="7A0A5197" w14:textId="77777777" w:rsidR="006E22FB" w:rsidRPr="00B51883" w:rsidRDefault="006E22FB" w:rsidP="0093767A">
            <w:pPr>
              <w:jc w:val="left"/>
            </w:pPr>
            <w:r w:rsidRPr="00B51883">
              <w:t xml:space="preserve">Noteikts, ka “drošības pārbaude” veicamas gan pirms darba tiesisko </w:t>
            </w:r>
            <w:r w:rsidRPr="00B51883">
              <w:lastRenderedPageBreak/>
              <w:t>attiecību uzsākšanas, gan regulāri darba tiesisko attiecību laikā.</w:t>
            </w:r>
          </w:p>
          <w:p w14:paraId="2474E421" w14:textId="62100196" w:rsidR="006E22FB" w:rsidRPr="00B51883" w:rsidRDefault="006E22FB" w:rsidP="0093767A">
            <w:pPr>
              <w:jc w:val="left"/>
            </w:pPr>
            <w:r w:rsidRPr="00B51883">
              <w:t>Precizēts, ka drošības pārbaude ietver: piekļuves tiesību pārskatīšanu, sodāmības izvērtēšanu, drošības politikas ievērošanu, apmācību statusu un citus riska faktorus. Precizēts, kuriem darbiniekiem attiecās šīs drošības pārbaudes.</w:t>
            </w:r>
          </w:p>
        </w:tc>
      </w:tr>
      <w:tr w:rsidR="006E22FB" w:rsidRPr="00B51883" w14:paraId="7EADB99E" w14:textId="77777777">
        <w:tc>
          <w:tcPr>
            <w:tcW w:w="750" w:type="dxa"/>
            <w:vMerge/>
            <w:shd w:val="clear" w:color="auto" w:fill="FFFFFF"/>
            <w:noWrap/>
            <w:tcMar>
              <w:top w:w="75" w:type="dxa"/>
              <w:left w:w="75" w:type="dxa"/>
              <w:bottom w:w="75" w:type="dxa"/>
              <w:right w:w="75" w:type="dxa"/>
            </w:tcMar>
            <w:vAlign w:val="center"/>
          </w:tcPr>
          <w:p w14:paraId="28E851F2"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739C674F"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52343CF5" w14:textId="268592A1" w:rsidR="006E22FB" w:rsidRPr="00B51883" w:rsidRDefault="006E22FB" w:rsidP="008F08CC">
            <w:pPr>
              <w:jc w:val="left"/>
            </w:pPr>
            <w:r w:rsidRPr="00B51883">
              <w:t>13. Iebilstam pret Noteikumu projekta 1.pielikuma 8.1.apakšpunktu.</w:t>
            </w:r>
            <w:r w:rsidRPr="00B51883">
              <w:br/>
            </w:r>
            <w:r w:rsidRPr="00B51883">
              <w:rPr>
                <w:b/>
              </w:rPr>
              <w:lastRenderedPageBreak/>
              <w:t>Pamatojums:</w:t>
            </w:r>
            <w:r w:rsidRPr="00B51883">
              <w:br/>
              <w:t>Noteikumu projekta 1.pielikuma 8.1.apakšpunkts nosaka tehniskās prasības temperatūras uzturēšanai: Tiek nodrošināta pastāvīga iekšējā temperatūra, kas nepārsniedz 18-27°C, lai aizsargātu iekārtas no pārkaršanas vai citiem tehniskiem bojājumiem, kas saistīti ar temperatūras svārstībām.</w:t>
            </w:r>
            <w:r w:rsidRPr="00B51883">
              <w:br/>
              <w:t>Noteikumu projekta 1.pielikuma 8.1. punkts satur daudz neskaidrību:</w:t>
            </w:r>
            <w:r w:rsidRPr="00B51883">
              <w:br/>
              <w:t>- Atbilstoši nozares standartiem, norādītās prasības par temperatūras diapazonu attiecas TIKAI uz serveru telpu, un tikai uz tās “aukstā koridora” zonu, pārējā serveru telpas zonā (“karstajā”) temperatūra netiek limitēta un var pārsniegt norādītās vērtības.</w:t>
            </w:r>
            <w:r w:rsidRPr="00B51883">
              <w:br/>
              <w:t xml:space="preserve">- Citās datu centra telpās standarti definē citas prasības, kas saistīts ar tajās uzstādīto iekārtu prasībām. Piem., UPS bateriju telpā jānodrošina temperatūru tuvu 20 grādiem (atkarībā no ražotāja </w:t>
            </w:r>
            <w:r w:rsidRPr="00B51883">
              <w:lastRenderedPageBreak/>
              <w:t>noteikumiem), kas ir maksimāli labvēlīga bateriju ilgmūžības nodrošināšanai.</w:t>
            </w:r>
            <w:r w:rsidRPr="00B51883">
              <w:br/>
              <w:t>- Papildus tam, standartos pieminētā optimālais diapazons (no +18C līdz +27C) nenozīmē, ka telpas gaisa temperatūra nevar būt zemāka par +18C, jo zemāka temperatūra norāda tikai par NEEFEKTĪVU dzesēšanas resursu izmantošanu. Kritiski ir ievērot tikai norādīto augšējo robežu (līdz +27C “aukstajā zonā”), jo tas var apdraudēt iekārtu ražotāju noteikto minimālo tehnisko prasību parametru nodrošināšanu (iestājās iekārtu pārkaršanas riski).</w:t>
            </w:r>
            <w:r w:rsidRPr="00B51883">
              <w:br/>
            </w:r>
            <w:r w:rsidRPr="00B51883">
              <w:rPr>
                <w:b/>
              </w:rPr>
              <w:t>Priekšlikums:</w:t>
            </w:r>
            <w:r w:rsidRPr="00B51883">
              <w:br/>
              <w:t>Precizēt Noteikumu projekta 1.pielikuma 8.1.apakšpunktu atbilstoši norādītajiem neskaidrajiem jautājumiem</w:t>
            </w:r>
          </w:p>
        </w:tc>
        <w:tc>
          <w:tcPr>
            <w:tcW w:w="1650" w:type="dxa"/>
            <w:shd w:val="clear" w:color="auto" w:fill="FFFFFF"/>
            <w:noWrap/>
            <w:tcMar>
              <w:top w:w="75" w:type="dxa"/>
              <w:left w:w="75" w:type="dxa"/>
              <w:bottom w:w="75" w:type="dxa"/>
              <w:right w:w="75" w:type="dxa"/>
            </w:tcMar>
            <w:vAlign w:val="center"/>
          </w:tcPr>
          <w:p w14:paraId="39135533" w14:textId="789E3AE0"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3CDC57EA" w14:textId="65745827" w:rsidR="006E22FB" w:rsidRPr="00B51883" w:rsidRDefault="006E22FB" w:rsidP="00547240">
            <w:pPr>
              <w:jc w:val="left"/>
            </w:pPr>
            <w:r w:rsidRPr="00B51883">
              <w:t xml:space="preserve">Noteikumu projekta 1. pielikuma 8.1. apakšpunkts ir precizēts, lai nodrošinātu atbilstību nozares </w:t>
            </w:r>
            <w:r w:rsidRPr="00B51883">
              <w:lastRenderedPageBreak/>
              <w:t>standartiem un ražotāju tehniskajām prasībām attiecībā uz temperatūras uzturēšanu dažādās datu centra zonās.</w:t>
            </w:r>
          </w:p>
          <w:p w14:paraId="6C257D74" w14:textId="77777777" w:rsidR="006E22FB" w:rsidRPr="00B51883" w:rsidRDefault="006E22FB" w:rsidP="00547240">
            <w:pPr>
              <w:jc w:val="left"/>
            </w:pPr>
          </w:p>
          <w:p w14:paraId="754AB5FC" w14:textId="77777777" w:rsidR="006E22FB" w:rsidRPr="00B51883" w:rsidRDefault="006E22FB" w:rsidP="00547240">
            <w:pPr>
              <w:jc w:val="left"/>
            </w:pPr>
            <w:r w:rsidRPr="00B51883">
              <w:t>Jaunā redakcija precizē:</w:t>
            </w:r>
          </w:p>
          <w:p w14:paraId="4FF809F2" w14:textId="3B66B4DF" w:rsidR="006E22FB" w:rsidRPr="00B51883" w:rsidRDefault="006E22FB" w:rsidP="00547240">
            <w:pPr>
              <w:jc w:val="left"/>
            </w:pPr>
            <w:r w:rsidRPr="00B51883">
              <w:t>Temperatūras prasību diferencēšanu dažādām serveru telpu zonām, skaidri norādot, ka +27°C limits attiecas tikai uz “auksto koridoru”, nevis visu telpu.</w:t>
            </w:r>
          </w:p>
          <w:p w14:paraId="0721FFF9" w14:textId="77777777" w:rsidR="006E22FB" w:rsidRPr="00B51883" w:rsidRDefault="006E22FB" w:rsidP="00547240">
            <w:pPr>
              <w:jc w:val="left"/>
            </w:pPr>
            <w:r w:rsidRPr="00B51883">
              <w:t>Citu serveru telpu temperatūras diapazonu, kas netiek ierobežots, izņemot gadījumus, kad tas var ietekmēt “aukstā koridora” darbības nosacījumus.</w:t>
            </w:r>
          </w:p>
          <w:p w14:paraId="3E65B8EA" w14:textId="4A3A3E15" w:rsidR="006E22FB" w:rsidRPr="00B51883" w:rsidRDefault="006E22FB" w:rsidP="00547240">
            <w:pPr>
              <w:jc w:val="left"/>
            </w:pPr>
            <w:r w:rsidRPr="00B51883">
              <w:t>Citu, tai skaitā UPS bateriju telpu, temperatūras prasībām, jāatbilst ražotāja specifikācijām.</w:t>
            </w:r>
          </w:p>
          <w:p w14:paraId="35B86955" w14:textId="58567060" w:rsidR="006E22FB" w:rsidRPr="00B51883" w:rsidRDefault="006E22FB" w:rsidP="00547240">
            <w:pPr>
              <w:jc w:val="left"/>
            </w:pPr>
          </w:p>
        </w:tc>
      </w:tr>
      <w:tr w:rsidR="006E22FB" w:rsidRPr="00B51883" w14:paraId="5CE9DDAA" w14:textId="77777777">
        <w:tc>
          <w:tcPr>
            <w:tcW w:w="750" w:type="dxa"/>
            <w:vMerge/>
            <w:shd w:val="clear" w:color="auto" w:fill="FFFFFF"/>
            <w:noWrap/>
            <w:tcMar>
              <w:top w:w="75" w:type="dxa"/>
              <w:left w:w="75" w:type="dxa"/>
              <w:bottom w:w="75" w:type="dxa"/>
              <w:right w:w="75" w:type="dxa"/>
            </w:tcMar>
            <w:vAlign w:val="center"/>
          </w:tcPr>
          <w:p w14:paraId="280E8BC1"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511437B0"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0FA94D35" w14:textId="12E99854" w:rsidR="006E22FB" w:rsidRPr="00B51883" w:rsidRDefault="006E22FB" w:rsidP="008F08CC">
            <w:pPr>
              <w:jc w:val="left"/>
            </w:pPr>
            <w:r w:rsidRPr="00B51883">
              <w:t>14. Iebilstam pret Noteikumu projekta 1.pielikuma 9.punktu.</w:t>
            </w:r>
            <w:r w:rsidRPr="00B51883">
              <w:br/>
            </w:r>
            <w:r w:rsidRPr="00B51883">
              <w:rPr>
                <w:b/>
              </w:rPr>
              <w:t>Pamatojums:</w:t>
            </w:r>
            <w:r w:rsidRPr="00B51883">
              <w:br/>
              <w:t xml:space="preserve">Noteikumu projekta 1.pielikuma </w:t>
            </w:r>
            <w:r w:rsidRPr="00B51883">
              <w:lastRenderedPageBreak/>
              <w:t>9.punkts nosaka tehniskās prasības enerģijas pārvaldībai: Vairākas nepārtrauktas barošanas sistēmas (UPS) un rezerves ģeneratori, lai nodrošinātu darbību vismaz 12 stundas bez elektrības piegādes, garantējot 99,9% pieejamību kalendārā gada ietvaros.</w:t>
            </w:r>
            <w:r w:rsidRPr="00B51883">
              <w:br/>
              <w:t>Noteikumu projekta 1.pielikuma 9.punkts satur vairākas neskaidrības:</w:t>
            </w:r>
            <w:r w:rsidRPr="00B51883">
              <w:br/>
              <w:t>Dokumentā neprecīzi tiek lietoti termini:</w:t>
            </w:r>
            <w:r w:rsidRPr="00B51883">
              <w:br/>
              <w:t>- “</w:t>
            </w:r>
            <w:r w:rsidRPr="00B51883">
              <w:rPr>
                <w:b/>
              </w:rPr>
              <w:t xml:space="preserve">Vairākas </w:t>
            </w:r>
            <w:r w:rsidRPr="00B51883">
              <w:t xml:space="preserve">nepārtrauktas barošanas </w:t>
            </w:r>
            <w:r w:rsidRPr="00B51883">
              <w:rPr>
                <w:b/>
              </w:rPr>
              <w:t xml:space="preserve">sistēmas </w:t>
            </w:r>
            <w:r w:rsidRPr="00B51883">
              <w:t>(UPS)” – UPS sistēma ir vienota, bet var būt lietotas vairākas UPS iekārtas un bateriju bloki.</w:t>
            </w:r>
            <w:r w:rsidRPr="00B51883">
              <w:br/>
              <w:t xml:space="preserve">- Lietojot ģeneratoru avārijas atslēgšanas gadījumos, kļūdaini ir pieminēts pieejamības rādītājs – ģeneratora darbības minimālās laiks tiek noteikts autonomā darbības laikā “bez degvielas uzpildes” (nevis – bez elektrības piegādes). Datu centra standartos ir noteikts, ka šādu ģeneratoru minimālā autonomija bez </w:t>
            </w:r>
            <w:r w:rsidRPr="00B51883">
              <w:lastRenderedPageBreak/>
              <w:t>degvielas uzpildes ir jānodrošina vismaz 24 stundas. Datu standartos ir noteikts, ka šādu ģeneratoru minimālā autonomija bez degvielas uzpildes ir jānodrošina vismaz 24 stundas. Datu centra standartos arī nosaka, ka datu centra operatoram ir jābūt noslēgtam līgumam par degvielas piegādi noteiktā laikā.</w:t>
            </w:r>
            <w:r w:rsidRPr="00B51883">
              <w:br/>
              <w:t>Šāda ģeneratora izmantošana nekādi nedrīkst ietekmēt  datu centra kopējo pieejamības rādītāju, kas ir nodefinēts 1. pielikuma V. sadaļas 18.punktā – 99,982% gadā. Līdz ar to nav saprotama un reizē ir maldinoša norāde “lai nodrošinātu darbību … garantējot 99,9% pieejamību kalendārā gada ietvaros”.</w:t>
            </w:r>
            <w:r w:rsidRPr="00B51883">
              <w:br/>
            </w:r>
            <w:r w:rsidRPr="00B51883">
              <w:rPr>
                <w:b/>
              </w:rPr>
              <w:t>Priekšlikums:</w:t>
            </w:r>
            <w:r w:rsidRPr="00B51883">
              <w:br/>
              <w:t>Precizēt Noteikumu projekta 1.pielikuma 9.punktu atbilstoši norādītajiem neskaidrajiem jautājumiem.</w:t>
            </w:r>
          </w:p>
        </w:tc>
        <w:tc>
          <w:tcPr>
            <w:tcW w:w="1650" w:type="dxa"/>
            <w:shd w:val="clear" w:color="auto" w:fill="FFFFFF"/>
            <w:noWrap/>
            <w:tcMar>
              <w:top w:w="75" w:type="dxa"/>
              <w:left w:w="75" w:type="dxa"/>
              <w:bottom w:w="75" w:type="dxa"/>
              <w:right w:w="75" w:type="dxa"/>
            </w:tcMar>
            <w:vAlign w:val="center"/>
          </w:tcPr>
          <w:p w14:paraId="6D039DCD" w14:textId="23CC9AAA"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5691D9B2" w14:textId="145B0821" w:rsidR="006E22FB" w:rsidRPr="00B51883" w:rsidRDefault="006E22FB" w:rsidP="0000334A">
            <w:pPr>
              <w:jc w:val="left"/>
            </w:pPr>
            <w:r w:rsidRPr="00B51883">
              <w:t>Noteikumu projekta 1. pielikuma 9. punkts ir precizēts attiecībā par terminoloģiju enerģijas pārvaldībā</w:t>
            </w:r>
          </w:p>
          <w:p w14:paraId="7E745AE3" w14:textId="069F5D2F" w:rsidR="006E22FB" w:rsidRPr="00B51883" w:rsidRDefault="006E22FB" w:rsidP="0000334A">
            <w:pPr>
              <w:jc w:val="left"/>
            </w:pPr>
            <w:r w:rsidRPr="00B51883">
              <w:lastRenderedPageBreak/>
              <w:t>Noteikts minimālais autonomo ģeneratoru darbības laiku bez degvielas uzpildes (24 stundas).</w:t>
            </w:r>
          </w:p>
          <w:p w14:paraId="5DF5B675" w14:textId="77777777" w:rsidR="006E22FB" w:rsidRPr="00B51883" w:rsidRDefault="006E22FB" w:rsidP="0000334A">
            <w:pPr>
              <w:jc w:val="left"/>
            </w:pPr>
            <w:r w:rsidRPr="00B51883">
              <w:t>Pievienota prasība nodrošināt līgumus ar degvielas piegādātājiem.</w:t>
            </w:r>
          </w:p>
          <w:p w14:paraId="3EC9C07A" w14:textId="27A4073A" w:rsidR="006E22FB" w:rsidRPr="00B51883" w:rsidRDefault="006E22FB" w:rsidP="0000334A">
            <w:pPr>
              <w:jc w:val="left"/>
            </w:pPr>
            <w:r w:rsidRPr="00B51883">
              <w:t>Pievienota atsauce uz pielikuma 18. punktā (99,982% gadā) noteikto pieejamību, kuru nedrīkst ietekmēt ka rezerves ģeneratoru izmantošana.</w:t>
            </w:r>
          </w:p>
        </w:tc>
      </w:tr>
      <w:tr w:rsidR="006E22FB" w:rsidRPr="00B51883" w14:paraId="12AAA7E5" w14:textId="77777777">
        <w:tc>
          <w:tcPr>
            <w:tcW w:w="750" w:type="dxa"/>
            <w:vMerge/>
            <w:shd w:val="clear" w:color="auto" w:fill="FFFFFF"/>
            <w:noWrap/>
            <w:tcMar>
              <w:top w:w="75" w:type="dxa"/>
              <w:left w:w="75" w:type="dxa"/>
              <w:bottom w:w="75" w:type="dxa"/>
              <w:right w:w="75" w:type="dxa"/>
            </w:tcMar>
            <w:vAlign w:val="center"/>
          </w:tcPr>
          <w:p w14:paraId="33560A85"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06DE5279"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1A0E9F19" w14:textId="37F7C818" w:rsidR="006E22FB" w:rsidRPr="00B51883" w:rsidRDefault="006E22FB" w:rsidP="008F08CC">
            <w:pPr>
              <w:jc w:val="left"/>
            </w:pPr>
            <w:r w:rsidRPr="00B51883">
              <w:t>15. Iebilstam pret Noteikumu projekta 1.pielikuma 10.punktu.</w:t>
            </w:r>
            <w:r w:rsidRPr="00B51883">
              <w:br/>
            </w:r>
            <w:r w:rsidRPr="00B51883">
              <w:rPr>
                <w:b/>
              </w:rPr>
              <w:lastRenderedPageBreak/>
              <w:t>Pamatojums:</w:t>
            </w:r>
            <w:r w:rsidRPr="00B51883">
              <w:br/>
              <w:t>Noteikumu projekta 1.pielikuma 10.punkts nosaka tehniskās prasības dzesēšanas sistēmām: Dzesēšanas sistēmas, kas nodrošinātas ar 2N rezervēšanu, garantējot nepārtrauktu darbību vienas sistēmas atteices gadījumā.</w:t>
            </w:r>
            <w:r w:rsidRPr="00B51883">
              <w:br/>
              <w:t>Noteikumu projekta 1.pielikuma 10.punkts satur daudz neskaidrību:</w:t>
            </w:r>
            <w:r w:rsidRPr="00B51883">
              <w:br/>
              <w:t>10.punktā kļūdaini tiek lietots termins “2N”, definējot dzesēšanas sistēmas rezervēšanas modeli. Atbilstoši nozares standartu prasībām, tajos tiek detalizēti aprakstīti principi, kādus jānodrošina dzesēšanas sistēmas rezervēšanai atbilstoši Tier III vai Tier IV (vai standartos – Rating Level vai Availability Class) kategoriju prasībām.</w:t>
            </w:r>
            <w:r w:rsidRPr="00B51883">
              <w:br/>
              <w:t xml:space="preserve">- 10.punktā minētais “2N” iekārtu un pieslēgumu rezervēšanas modelis attiecināms tikai uz Tier IV (vai standartos – </w:t>
            </w:r>
            <w:r w:rsidRPr="00B51883">
              <w:rPr>
                <w:i/>
              </w:rPr>
              <w:t>Rating Level 4</w:t>
            </w:r>
            <w:r w:rsidRPr="00B51883">
              <w:t xml:space="preserve"> vai </w:t>
            </w:r>
            <w:r w:rsidRPr="00B51883">
              <w:rPr>
                <w:i/>
              </w:rPr>
              <w:t>Availability Class 4</w:t>
            </w:r>
            <w:r w:rsidRPr="00B51883">
              <w:t xml:space="preserve">) rezervēšanas modeli, kaut gan šī dokumenta V. sadaļas 18.punktā </w:t>
            </w:r>
            <w:r w:rsidRPr="00B51883">
              <w:lastRenderedPageBreak/>
              <w:t>noteikts, ka minimālais pieejamības līmenis tiek definēts atbilstoši Tier III prasībām.</w:t>
            </w:r>
            <w:r w:rsidRPr="00B51883">
              <w:br/>
              <w:t>- Dzesēšanas risinājumi mūsdienu datu centrā tiek veidoti kā daudzu iekārtu kompleksi risinājumi, vienā serveru telpā var būt pat vairāki desmiti iekārtu, tāpēc katrai izmantotajai tehnoloģijai tiek piemēroti savi noteikumi, lai demonstrētu šo atbilstību standartā definētajai kategorijai. Piemēram, starprindu dzesētāju izmantošanas gadījumā definē, cik šiem iekšējiem blokiem jābūt rezervētiem viena slēgtā aparatūras skapju koridora ietvaros.</w:t>
            </w:r>
            <w:r w:rsidRPr="00B51883">
              <w:br/>
            </w:r>
            <w:r w:rsidRPr="00B51883">
              <w:rPr>
                <w:b/>
              </w:rPr>
              <w:t>Priekšlikums:</w:t>
            </w:r>
            <w:r w:rsidRPr="00B51883">
              <w:br/>
              <w:t>Precizēt Noteikumu projekta 1.pielikuma 10.punktu atbilstoši norādītajiem neskaidrajiem jautājumiem.</w:t>
            </w:r>
            <w:r w:rsidRPr="00B51883">
              <w:br/>
            </w:r>
          </w:p>
        </w:tc>
        <w:tc>
          <w:tcPr>
            <w:tcW w:w="1650" w:type="dxa"/>
            <w:shd w:val="clear" w:color="auto" w:fill="FFFFFF"/>
            <w:noWrap/>
            <w:tcMar>
              <w:top w:w="75" w:type="dxa"/>
              <w:left w:w="75" w:type="dxa"/>
              <w:bottom w:w="75" w:type="dxa"/>
              <w:right w:w="75" w:type="dxa"/>
            </w:tcMar>
            <w:vAlign w:val="center"/>
          </w:tcPr>
          <w:p w14:paraId="3DFA4794" w14:textId="3212205A"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71007D39" w14:textId="77777777" w:rsidR="006E22FB" w:rsidRPr="00B51883" w:rsidRDefault="006E22FB" w:rsidP="00A511C4">
            <w:pPr>
              <w:jc w:val="left"/>
            </w:pPr>
            <w:r w:rsidRPr="00B51883">
              <w:t xml:space="preserve">Noteikumu projekta 1. pielikuma 10. punkts ir precizēts. Svītrots </w:t>
            </w:r>
            <w:r w:rsidRPr="00B51883">
              <w:lastRenderedPageBreak/>
              <w:t>termins “2N”, tā vietā izmantots "rezervēšanas modelis atbilstoši pieejamības prasībām".</w:t>
            </w:r>
          </w:p>
          <w:p w14:paraId="4598D185" w14:textId="3AD0DF9B" w:rsidR="006E22FB" w:rsidRPr="00B51883" w:rsidRDefault="006E22FB" w:rsidP="00A511C4">
            <w:pPr>
              <w:jc w:val="left"/>
            </w:pPr>
            <w:r w:rsidRPr="00B51883">
              <w:t>Papildināts ar precizējumu par dzesēšanas sistēmu veidu daudzveidību. Norādīts, ka dzesēšanas sistēmai jāatbilst konkrētajiem datu centra infrastruktūras zonējuma un drošības prasību kritērijiem..</w:t>
            </w:r>
          </w:p>
        </w:tc>
      </w:tr>
      <w:tr w:rsidR="006E22FB" w:rsidRPr="00B51883" w14:paraId="5D278E27" w14:textId="77777777">
        <w:tc>
          <w:tcPr>
            <w:tcW w:w="750" w:type="dxa"/>
            <w:vMerge/>
            <w:shd w:val="clear" w:color="auto" w:fill="FFFFFF"/>
            <w:noWrap/>
            <w:tcMar>
              <w:top w:w="75" w:type="dxa"/>
              <w:left w:w="75" w:type="dxa"/>
              <w:bottom w:w="75" w:type="dxa"/>
              <w:right w:w="75" w:type="dxa"/>
            </w:tcMar>
            <w:vAlign w:val="center"/>
          </w:tcPr>
          <w:p w14:paraId="00108A26"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15908D94"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65941BF7" w14:textId="51856527" w:rsidR="006E22FB" w:rsidRPr="00B51883" w:rsidRDefault="006E22FB" w:rsidP="008F08CC">
            <w:pPr>
              <w:jc w:val="left"/>
            </w:pPr>
            <w:r w:rsidRPr="00B51883">
              <w:t>16. Iebilstam pret Noteikumu projekta 1.pielikuma 11.punktu.</w:t>
            </w:r>
            <w:r w:rsidRPr="00B51883">
              <w:br/>
            </w:r>
            <w:r w:rsidRPr="00B51883">
              <w:rPr>
                <w:b/>
              </w:rPr>
              <w:t>Pamatojums:</w:t>
            </w:r>
            <w:r w:rsidRPr="00B51883">
              <w:br/>
            </w:r>
            <w:r w:rsidRPr="00B51883">
              <w:lastRenderedPageBreak/>
              <w:t>Noteikumu projekta 1.pielikuma 11.punkts nosaka tehniskās prasības tīkla infrastruktūrai: Latentums starp datu centra iekārtām un klienta sistēmām nepārsniedz 10 milisekundes. Īpaši augsta rezervēšana (2N konfigurācija tīkla komponentēm, kas nodrošina, ka tīkla infrastruktūra turpina darboties vairāku tīkla komponenšu atteices gadījumā) un drošības pasākumi tīklošanā, tostarp šifrēta datu pārraide izmantojot vismaz AES-256 šifrēšanas standartu.</w:t>
            </w:r>
            <w:r w:rsidRPr="00B51883">
              <w:br/>
              <w:t>Noteikumu projekta 1.pielikuma 11.punkts satur daudz neskaidrību:</w:t>
            </w:r>
            <w:r w:rsidRPr="00B51883">
              <w:br/>
              <w:t xml:space="preserve">Nevienā no nozares standartiem nedefinē šādas precīzas vērtības (10 milisekundes) telekomunikāciju risinājumiem, jo šis parametrs norādīts starp divām sistēmām, tas padara šādas prasības bezjēdzīgas, jo nav iespējams pierādīt, ka infrastruktūra ar nedaudz sliktāku parametru, piem., 11 milisekundes, nenodrošina </w:t>
            </w:r>
            <w:r w:rsidRPr="00B51883">
              <w:lastRenderedPageBreak/>
              <w:t>standartos noteiktās kopīgās arhitektūras un drošības prasības. Nozares standartos ir iestrādātas vispārīgās konceptuālās un arhitektūras līmeņa prasības telekomunikāciju risinājumu realizācijai datu centros, ar saprotamu rezervēšanas līmeņu  pieaugumu virzienā uz augstāko drošības klasi.</w:t>
            </w:r>
            <w:r w:rsidRPr="00B51883">
              <w:br/>
              <w:t xml:space="preserve">- Dokumentā izmantotais formulējums “īpaši augsta rezervēšana” ar skaidrojumu par 2N rezervēšanu VISĀM tīkla komponentēm  nesakrīt ar nozares standartu kritērijiem, kas definētajai minimālajai pieejamības klasei </w:t>
            </w:r>
            <w:r w:rsidRPr="00B51883">
              <w:rPr>
                <w:i/>
              </w:rPr>
              <w:t>Rating Level 3</w:t>
            </w:r>
            <w:r w:rsidRPr="00B51883">
              <w:t xml:space="preserve"> vai </w:t>
            </w:r>
            <w:r w:rsidRPr="00B51883">
              <w:rPr>
                <w:i/>
              </w:rPr>
              <w:t>Availability Class 3</w:t>
            </w:r>
            <w:r w:rsidRPr="00B51883">
              <w:t xml:space="preserve"> to pamatā definē N+1 līmenī, un arī tikai risinājuma pamatelementu līmenī. Minētais līmenis 2N ir spēkā </w:t>
            </w:r>
            <w:r w:rsidRPr="00B51883">
              <w:rPr>
                <w:i/>
              </w:rPr>
              <w:t xml:space="preserve">Rating Level 4 </w:t>
            </w:r>
            <w:r w:rsidRPr="00B51883">
              <w:t xml:space="preserve">vai </w:t>
            </w:r>
            <w:r w:rsidRPr="00B51883">
              <w:rPr>
                <w:i/>
              </w:rPr>
              <w:t>Availability Class 4</w:t>
            </w:r>
            <w:r w:rsidRPr="00B51883">
              <w:t xml:space="preserve"> sistēmām, bet arī ne visām datu pārraides tīkla iekārtām.</w:t>
            </w:r>
            <w:r w:rsidRPr="00B51883">
              <w:br/>
              <w:t xml:space="preserve">- Kopumā normatīvajā aktā būtu jāizvairās lietot šādas “punktveida” prasības bez </w:t>
            </w:r>
            <w:r w:rsidRPr="00B51883">
              <w:lastRenderedPageBreak/>
              <w:t>kopējām konceptuālajām prasībām, kas šajā dokumentā nemaz nav iekļautas, vēl jo vairāk, ka tīkla aiztures jeb latentums tiešā veidā nav vērtējams kā datu centru infrastruktūras drošības kategorija, bet pakalpojumu līmeņa vai pielietojuma sfēras limitēts parametrs.</w:t>
            </w:r>
            <w:r w:rsidRPr="00B51883">
              <w:br/>
              <w:t>- Datu šifrēšana kā kritērijs nekādi nav saistāms ar datu pārraides tīkla iekārtu pielietojamo rezervēšanas modeli, bet ar pašu IS un to datu drošības definēto līmeni un izmantoto datu pārraides kanālu drošību.</w:t>
            </w:r>
            <w:r w:rsidRPr="00B51883">
              <w:br/>
              <w:t>- Prasība par datu šifrēšanu būtu piemērojama IKT sistēmām, nevis datu centriem.</w:t>
            </w:r>
            <w:r w:rsidRPr="00B51883">
              <w:br/>
              <w:t xml:space="preserve">- Prasības tīkla infrastruktūrai būtu papildināmas ar prasību, kas apraksta datu centra tīkla infrastruktūras savienojumus ar tīkliem, ārpus datu centra. </w:t>
            </w:r>
            <w:r w:rsidRPr="00B51883">
              <w:rPr>
                <w:i/>
              </w:rPr>
              <w:t xml:space="preserve">“Saziņai ar telekomunikāciju operatoru tīkliem un publisko internetu, Datu centrā tiek nodrošināti vismaz divi, neatkarīgi </w:t>
            </w:r>
            <w:r w:rsidRPr="00B51883">
              <w:rPr>
                <w:i/>
              </w:rPr>
              <w:lastRenderedPageBreak/>
              <w:t>datu pārraides kanāli, kas izbūvēti, izmantojot neatkarīgus optiskās šķiedras ievadus Datu Centra ēku kompleksā.”</w:t>
            </w:r>
            <w:r w:rsidRPr="00B51883">
              <w:br/>
            </w:r>
            <w:r w:rsidRPr="00B51883">
              <w:rPr>
                <w:b/>
              </w:rPr>
              <w:t>Priekšlikums:</w:t>
            </w:r>
            <w:r w:rsidRPr="00B51883">
              <w:br/>
              <w:t>Precizēt Noteikumu projekta 1.pielikuma 11.punktu atbilstoši norādītajām neprecizitātēm.</w:t>
            </w:r>
            <w:r w:rsidRPr="00B51883">
              <w:br/>
            </w:r>
          </w:p>
        </w:tc>
        <w:tc>
          <w:tcPr>
            <w:tcW w:w="1650" w:type="dxa"/>
            <w:shd w:val="clear" w:color="auto" w:fill="FFFFFF"/>
            <w:noWrap/>
            <w:tcMar>
              <w:top w:w="75" w:type="dxa"/>
              <w:left w:w="75" w:type="dxa"/>
              <w:bottom w:w="75" w:type="dxa"/>
              <w:right w:w="75" w:type="dxa"/>
            </w:tcMar>
            <w:vAlign w:val="center"/>
          </w:tcPr>
          <w:p w14:paraId="7E01B8DF" w14:textId="71004E52"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3697B1B2" w14:textId="0EA77BF3" w:rsidR="006E22FB" w:rsidRPr="00B51883" w:rsidRDefault="006E22FB" w:rsidP="00333C7C">
            <w:pPr>
              <w:jc w:val="left"/>
            </w:pPr>
            <w:r w:rsidRPr="00B51883">
              <w:t xml:space="preserve">Noteikumu projekta 1. pielikuma 11. punkts ir precizēts. Svītrota tīkla latentuma prasība. Precizēta </w:t>
            </w:r>
            <w:r w:rsidRPr="00B51883">
              <w:lastRenderedPageBreak/>
              <w:t>rezervēšanas prasība, norādot, ka tā tiek nodrošināta atbilstoši pieejamības prasībām, kas noteiktas pielikuma 18. punktā.</w:t>
            </w:r>
          </w:p>
          <w:p w14:paraId="231E5174" w14:textId="3DD8E8D9" w:rsidR="006E22FB" w:rsidRPr="00B51883" w:rsidRDefault="006E22FB" w:rsidP="00480224">
            <w:pPr>
              <w:jc w:val="left"/>
            </w:pPr>
            <w:r w:rsidRPr="00B51883">
              <w:t>Norādīts, ka jānodrošina tīkla drošības prasības atbilstoši  Ministru kabineta noteikumiem "Minimālās kiberdrošības prasības". Pievienots precizējums par minimālajām ārējo sakaru infrastruktūras prasībām, nosakot, ka datu centram jābūt aprīkotam ar vismaz diviem neatkarīgiem datu pārraides kanāliem, izmantojot atsevišķus optiskās šķiedras ievadus.</w:t>
            </w:r>
          </w:p>
        </w:tc>
      </w:tr>
      <w:tr w:rsidR="006E22FB" w:rsidRPr="00B51883" w14:paraId="356EC6FD" w14:textId="77777777">
        <w:tc>
          <w:tcPr>
            <w:tcW w:w="750" w:type="dxa"/>
            <w:vMerge/>
            <w:shd w:val="clear" w:color="auto" w:fill="FFFFFF"/>
            <w:noWrap/>
            <w:tcMar>
              <w:top w:w="75" w:type="dxa"/>
              <w:left w:w="75" w:type="dxa"/>
              <w:bottom w:w="75" w:type="dxa"/>
              <w:right w:w="75" w:type="dxa"/>
            </w:tcMar>
            <w:vAlign w:val="center"/>
          </w:tcPr>
          <w:p w14:paraId="0B90236F" w14:textId="77777777" w:rsidR="006E22FB" w:rsidRPr="00B51883" w:rsidRDefault="006E22FB" w:rsidP="008F08CC">
            <w:pPr>
              <w:jc w:val="center"/>
            </w:pPr>
          </w:p>
        </w:tc>
        <w:tc>
          <w:tcPr>
            <w:tcW w:w="4055" w:type="dxa"/>
            <w:vMerge/>
            <w:shd w:val="clear" w:color="auto" w:fill="FFFFFF"/>
            <w:noWrap/>
            <w:tcMar>
              <w:top w:w="75" w:type="dxa"/>
              <w:left w:w="75" w:type="dxa"/>
              <w:bottom w:w="75" w:type="dxa"/>
              <w:right w:w="75" w:type="dxa"/>
            </w:tcMar>
            <w:vAlign w:val="center"/>
          </w:tcPr>
          <w:p w14:paraId="33AC06E2" w14:textId="77777777" w:rsidR="006E22FB" w:rsidRPr="00B51883" w:rsidRDefault="006E22FB" w:rsidP="008F08CC">
            <w:pPr>
              <w:jc w:val="left"/>
            </w:pPr>
          </w:p>
        </w:tc>
        <w:tc>
          <w:tcPr>
            <w:tcW w:w="4056" w:type="dxa"/>
            <w:shd w:val="clear" w:color="auto" w:fill="FFFFFF"/>
            <w:noWrap/>
            <w:tcMar>
              <w:top w:w="75" w:type="dxa"/>
              <w:left w:w="75" w:type="dxa"/>
              <w:bottom w:w="75" w:type="dxa"/>
              <w:right w:w="75" w:type="dxa"/>
            </w:tcMar>
            <w:vAlign w:val="center"/>
          </w:tcPr>
          <w:p w14:paraId="6990D05C" w14:textId="75D4950C" w:rsidR="006E22FB" w:rsidRPr="00B51883" w:rsidRDefault="006E22FB" w:rsidP="008F08CC">
            <w:pPr>
              <w:jc w:val="left"/>
            </w:pPr>
            <w:r w:rsidRPr="00B51883">
              <w:t>17. Iebilstam pret Noteikumu projekta 1.pielikuma 13.punktu.</w:t>
            </w:r>
            <w:r w:rsidRPr="00B51883">
              <w:br/>
            </w:r>
            <w:r w:rsidRPr="00B51883">
              <w:rPr>
                <w:b/>
              </w:rPr>
              <w:t>Pamatojums:</w:t>
            </w:r>
            <w:r w:rsidRPr="00B51883">
              <w:br/>
              <w:t>Noteikumu projekta 1.pielikuma 13.punkts nosaka fiziskās drošības prasības videonovērošanai: ir uzstādīta videonovērošanas sistēma, kas nodrošina reāllaika uzraudzību un ierakstīšanu visās kritiskajās zonās. Videoieraksti tiek šifrēti un glabāti drošās, piekļuvei ierobežotās sistēmās vismaz 90 dienas, nodrošinot to integritāti un konfidencialitāti. Ierakstu piekļuve tiek reģistrēta un analizēta.</w:t>
            </w:r>
            <w:r w:rsidRPr="00B51883">
              <w:br/>
              <w:t xml:space="preserve">13.punktā norādītais videoierakstu uzglabāšanas termiņš 90 dienas ir </w:t>
            </w:r>
            <w:r w:rsidRPr="00B51883">
              <w:lastRenderedPageBreak/>
              <w:t>būtiski augstāks, nekā nozares standartos norādīts (parasti – 30 dienas).</w:t>
            </w:r>
            <w:r w:rsidRPr="00B51883">
              <w:br/>
              <w:t>13. punktā nav norādīti citi būtiski aspekti – vai videonovērošanas dati var glabāties tajā pašā datu centrā, vai videonovērošanas risinājumiem jāievēro GDPR prasības, datu šifrēšanas minimālās drošības prasības utt.</w:t>
            </w:r>
            <w:r w:rsidRPr="00B51883">
              <w:br/>
              <w:t>Ir nepieciešams precizēt, kas tiek saprasts ar terminu ‘kritiskās zonas’.</w:t>
            </w:r>
            <w:r w:rsidRPr="00B51883">
              <w:br/>
            </w:r>
            <w:r w:rsidRPr="00B51883">
              <w:rPr>
                <w:b/>
              </w:rPr>
              <w:t>Priekšlikums:</w:t>
            </w:r>
            <w:r w:rsidRPr="00B51883">
              <w:br/>
              <w:t>- Precizēt Noteikumu projekta 1.pielikuma 13.punktu atbilstoši norādītajiem neskaidrajiem jautājumiem.</w:t>
            </w:r>
            <w:r w:rsidRPr="00B51883">
              <w:br/>
              <w:t>- Precizēt terminu “kritiskās zonas”</w:t>
            </w:r>
            <w:r w:rsidRPr="00B51883">
              <w:br/>
              <w:t>- Videoierakstu glabāšanas termiņu noteikt 30 dienas.</w:t>
            </w:r>
            <w:r w:rsidRPr="00B51883">
              <w:br/>
            </w:r>
            <w:r w:rsidRPr="00B51883">
              <w:br/>
            </w:r>
          </w:p>
        </w:tc>
        <w:tc>
          <w:tcPr>
            <w:tcW w:w="1650" w:type="dxa"/>
            <w:shd w:val="clear" w:color="auto" w:fill="FFFFFF"/>
            <w:noWrap/>
            <w:tcMar>
              <w:top w:w="75" w:type="dxa"/>
              <w:left w:w="75" w:type="dxa"/>
              <w:bottom w:w="75" w:type="dxa"/>
              <w:right w:w="75" w:type="dxa"/>
            </w:tcMar>
            <w:vAlign w:val="center"/>
          </w:tcPr>
          <w:p w14:paraId="73964577" w14:textId="08DAB5D8" w:rsidR="006E22FB" w:rsidRPr="00B51883" w:rsidRDefault="006E22FB" w:rsidP="008F08CC">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5D4EB99E" w14:textId="77777777" w:rsidR="006E22FB" w:rsidRPr="00B51883" w:rsidRDefault="006E22FB" w:rsidP="00763D97">
            <w:pPr>
              <w:jc w:val="left"/>
            </w:pPr>
            <w:r w:rsidRPr="00B51883">
              <w:t>Precizēts termins "kritiskās zonas", aizstājot to ar "zonas, kurās tas nepieciešams, lai konstatētu nesankcionētu piekļuvi un nodrošinātu infrastruktūras drošību", lai izvairītos no interpretācijas neskaidrībām.</w:t>
            </w:r>
          </w:p>
          <w:p w14:paraId="66F3E395" w14:textId="3033D497" w:rsidR="006E22FB" w:rsidRPr="00B51883" w:rsidRDefault="006E22FB" w:rsidP="00763D97">
            <w:pPr>
              <w:jc w:val="left"/>
            </w:pPr>
            <w:r w:rsidRPr="00B51883">
              <w:t>Izņemta videoierakstu glabāšanas minimālā termiņa prasība, norādot, kaka videonovērošanas sistēmai jāatbilst Ministru kabineta noteikumos “Minimālās kiberdrošības prasības” noteiktajām prasībām.</w:t>
            </w:r>
          </w:p>
        </w:tc>
      </w:tr>
      <w:tr w:rsidR="006E22FB" w:rsidRPr="00B51883" w14:paraId="52C9893E" w14:textId="77777777">
        <w:tc>
          <w:tcPr>
            <w:tcW w:w="750" w:type="dxa"/>
            <w:vMerge/>
            <w:shd w:val="clear" w:color="auto" w:fill="FFFFFF"/>
            <w:noWrap/>
            <w:tcMar>
              <w:top w:w="75" w:type="dxa"/>
              <w:left w:w="75" w:type="dxa"/>
              <w:bottom w:w="75" w:type="dxa"/>
              <w:right w:w="75" w:type="dxa"/>
            </w:tcMar>
            <w:vAlign w:val="center"/>
          </w:tcPr>
          <w:p w14:paraId="3322EC35" w14:textId="77777777" w:rsidR="006E22FB" w:rsidRPr="00B51883" w:rsidRDefault="006E22FB" w:rsidP="000B4BD9">
            <w:pPr>
              <w:jc w:val="center"/>
            </w:pPr>
          </w:p>
        </w:tc>
        <w:tc>
          <w:tcPr>
            <w:tcW w:w="4055" w:type="dxa"/>
            <w:vMerge/>
            <w:shd w:val="clear" w:color="auto" w:fill="FFFFFF"/>
            <w:noWrap/>
            <w:tcMar>
              <w:top w:w="75" w:type="dxa"/>
              <w:left w:w="75" w:type="dxa"/>
              <w:bottom w:w="75" w:type="dxa"/>
              <w:right w:w="75" w:type="dxa"/>
            </w:tcMar>
            <w:vAlign w:val="center"/>
          </w:tcPr>
          <w:p w14:paraId="5DCC6D77" w14:textId="77777777" w:rsidR="006E22FB" w:rsidRPr="00B51883" w:rsidRDefault="006E22FB" w:rsidP="000B4BD9">
            <w:pPr>
              <w:jc w:val="left"/>
            </w:pPr>
          </w:p>
        </w:tc>
        <w:tc>
          <w:tcPr>
            <w:tcW w:w="4056" w:type="dxa"/>
            <w:shd w:val="clear" w:color="auto" w:fill="FFFFFF"/>
            <w:noWrap/>
            <w:tcMar>
              <w:top w:w="75" w:type="dxa"/>
              <w:left w:w="75" w:type="dxa"/>
              <w:bottom w:w="75" w:type="dxa"/>
              <w:right w:w="75" w:type="dxa"/>
            </w:tcMar>
            <w:vAlign w:val="center"/>
          </w:tcPr>
          <w:p w14:paraId="069061A0" w14:textId="18A303F7" w:rsidR="006E22FB" w:rsidRPr="00B51883" w:rsidRDefault="006E22FB" w:rsidP="000B4BD9">
            <w:pPr>
              <w:jc w:val="left"/>
            </w:pPr>
            <w:r w:rsidRPr="00B51883">
              <w:t>18. Iebilstam pret Noteikumu projekta 1.pielikuma 14.punktu.</w:t>
            </w:r>
            <w:r w:rsidRPr="00B51883">
              <w:br/>
            </w:r>
            <w:r w:rsidRPr="00B51883">
              <w:rPr>
                <w:b/>
              </w:rPr>
              <w:t>Pamatojums:</w:t>
            </w:r>
            <w:r w:rsidRPr="00B51883">
              <w:br/>
            </w:r>
            <w:r w:rsidRPr="00B51883">
              <w:lastRenderedPageBreak/>
              <w:t>Noteikumu projekta 1.pielikuma 14.punkts nosaka  fiziskās drošības prasības pretplūdu risinājumiem: Datu centrā ir pretplūdu risinājumi, tai skaitā mitruma sensori, un citas sistēmas, kas nodrošina datu centra aizsardzību pret iespējamiem plūdiem vai citiem mitruma radītiem bojājumiem.</w:t>
            </w:r>
            <w:r w:rsidRPr="00B51883">
              <w:br/>
              <w:t>14. punktā ir kļūdaini lietots termins “pretplūdu risinājumi” datu centrā, “mitruma sensori” un “mitruma radītie bojājumi”.</w:t>
            </w:r>
            <w:r w:rsidRPr="00B51883">
              <w:br/>
              <w:t>- Nozares standartos ar “pretplūdu risinājumu” saprot visu, kas saistīts ar datu centra ēkas un āras infrastruktūras aizsardzību pret plūdiem no tuvumā esošās ūdens tilpnes ūdens (piem., plūdu vai cunami veidā) vai lietus radītiem ūdens ieplūšanas riskiem ēkā no ārpuses, bet ne ēkas iekšpusē notiekošajiem tehnoloģiskajiem procesiem.</w:t>
            </w:r>
            <w:r w:rsidRPr="00B51883">
              <w:br/>
              <w:t xml:space="preserve">- Noteikumu projektā minētais “mitrums” (anglu val. “Humidity”) tiek jaukts ar terminu </w:t>
            </w:r>
            <w:r w:rsidRPr="00B51883">
              <w:lastRenderedPageBreak/>
              <w:t>“škidrums” (angļu val. “Liquid”)</w:t>
            </w:r>
            <w:r w:rsidRPr="00B51883">
              <w:br/>
              <w:t>- Noteikumu projektā faktiski aprakstītais risks datu centru standartos tiek definēts kā tieši “škidrumu” ietekmē notikušie datu centra telpās izvietoto iekārtu un aparatūras bojājumi. Šie šķidrumi var būt - dzesēšanas sistēmas ūdens vai modificēti šķidrumi, dzesēšanas iekārtu kondensāts, mitrināšanas iekārtu ūdens, ūdens no citas telpas. Šo risku identificēšanai izmanto “šķidruma” konstatēšanas sensorus.</w:t>
            </w:r>
            <w:r w:rsidRPr="00B51883">
              <w:br/>
              <w:t>- Noteikumu projektā minētais “mitruma” sensors standartos tiek definēts kā “gaisa relatīvā mitruma” sensors un tas ir paredzēts tikai gaisa parametra kontroli, taču šī punkta ietvaros tas nav attiecināms uz aprakstīto risku.</w:t>
            </w:r>
            <w:r w:rsidRPr="00B51883">
              <w:br/>
              <w:t>- Noteikumu projektā kļūdaini ir minēts, ka sensori un citas sistēmas “</w:t>
            </w:r>
            <w:r w:rsidRPr="00B51883">
              <w:rPr>
                <w:b/>
                <w:u w:val="single"/>
              </w:rPr>
              <w:t xml:space="preserve">nodrošina datu centra aizsardzību </w:t>
            </w:r>
            <w:r w:rsidRPr="00B51883">
              <w:t xml:space="preserve">pret iespējamiem plūdiem vai citiem mitruma </w:t>
            </w:r>
            <w:r w:rsidRPr="00B51883">
              <w:lastRenderedPageBreak/>
              <w:t>radītiem bojājumiem”. Sensori un sistēmas var nodrošināt tikai proaktīvu vai reaktīvu informācijas saņemšanu par riska iestāšanos, taču tie nekādā veidā nenodrošina aizsardzību pret šādu risku.</w:t>
            </w:r>
            <w:r w:rsidRPr="00B51883">
              <w:br/>
            </w:r>
            <w:r w:rsidRPr="00B51883">
              <w:rPr>
                <w:b/>
              </w:rPr>
              <w:t>Priekšlikums:</w:t>
            </w:r>
            <w:r w:rsidRPr="00B51883">
              <w:br/>
              <w:t>Precizēt Noteikumu projekta 1.pielikuma 14.punktu atbilstoši norādītajām neprecizitātēm.</w:t>
            </w:r>
            <w:r w:rsidRPr="00B51883">
              <w:br/>
            </w:r>
          </w:p>
        </w:tc>
        <w:tc>
          <w:tcPr>
            <w:tcW w:w="1650" w:type="dxa"/>
            <w:shd w:val="clear" w:color="auto" w:fill="FFFFFF"/>
            <w:noWrap/>
            <w:tcMar>
              <w:top w:w="75" w:type="dxa"/>
              <w:left w:w="75" w:type="dxa"/>
              <w:bottom w:w="75" w:type="dxa"/>
              <w:right w:w="75" w:type="dxa"/>
            </w:tcMar>
            <w:vAlign w:val="center"/>
          </w:tcPr>
          <w:p w14:paraId="6BFDE01C" w14:textId="6BC7EBBA" w:rsidR="006E22FB" w:rsidRPr="00B51883" w:rsidRDefault="006E22FB" w:rsidP="000B4BD9">
            <w:pPr>
              <w:jc w:val="left"/>
            </w:pPr>
            <w:r w:rsidRPr="00B51883">
              <w:rPr>
                <w:bCs/>
              </w:rPr>
              <w:lastRenderedPageBreak/>
              <w:t>ņemts vērā</w:t>
            </w:r>
          </w:p>
        </w:tc>
        <w:tc>
          <w:tcPr>
            <w:tcW w:w="4056" w:type="dxa"/>
            <w:shd w:val="clear" w:color="auto" w:fill="FFFFFF"/>
            <w:noWrap/>
            <w:tcMar>
              <w:top w:w="75" w:type="dxa"/>
              <w:left w:w="75" w:type="dxa"/>
              <w:bottom w:w="75" w:type="dxa"/>
              <w:right w:w="75" w:type="dxa"/>
            </w:tcMar>
            <w:vAlign w:val="center"/>
          </w:tcPr>
          <w:p w14:paraId="058B79BA" w14:textId="73926B81" w:rsidR="006E22FB" w:rsidRPr="00B51883" w:rsidRDefault="006E22FB" w:rsidP="0067139E">
            <w:pPr>
              <w:jc w:val="left"/>
            </w:pPr>
            <w:r w:rsidRPr="00B51883">
              <w:t xml:space="preserve">Noteikumu projekta 1. pielikuma 14. punkts ir precizēts ,atbilstoši iebildumam un priekšlikumam. </w:t>
            </w:r>
            <w:r w:rsidRPr="00B51883">
              <w:lastRenderedPageBreak/>
              <w:t>Aizstāts termins “pretplūdu risinājumi” ar precīzāku formulējumu “šķidrumu radīto bojājumu riska mazināšana”. Mainīts termins “mitruma sensori” uz “šķidruma noplūdes noteikšanas sensoriem”, kas attiecas uz šķidruma radītajiem riskiem un neatbilst gaisa mitruma kontrolei. Uzskaitītas zonas, kur nepieciešama šķidruma noplūdes noteikšana, piemēram, dzesēšanas sistēmu cauruļvadi, kondensāta izplūdes punkti, mitrināšanas sistēmas un citas zonas, kur iespējama ūdens vai citu šķidrumu ieplūde. Pievienota prasība, ka datu centram jābūt projektētam un uzturētam, lai nodrošinātu aizsardzību pret ārējās vides šķidruma radītiem riskiem, kas ietver plūdu un citu ārēju apdraudējumu novēršanu.</w:t>
            </w:r>
          </w:p>
        </w:tc>
      </w:tr>
      <w:tr w:rsidR="006E22FB" w:rsidRPr="00B51883" w14:paraId="573C9867" w14:textId="77777777">
        <w:tc>
          <w:tcPr>
            <w:tcW w:w="750" w:type="dxa"/>
            <w:vMerge/>
            <w:shd w:val="clear" w:color="auto" w:fill="FFFFFF"/>
            <w:noWrap/>
            <w:tcMar>
              <w:top w:w="75" w:type="dxa"/>
              <w:left w:w="75" w:type="dxa"/>
              <w:bottom w:w="75" w:type="dxa"/>
              <w:right w:w="75" w:type="dxa"/>
            </w:tcMar>
            <w:vAlign w:val="center"/>
          </w:tcPr>
          <w:p w14:paraId="1CDF6B81"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422BFAF8"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2C47E465" w14:textId="3D365A5D" w:rsidR="006E22FB" w:rsidRPr="00B51883" w:rsidRDefault="006E22FB" w:rsidP="004B28DC">
            <w:pPr>
              <w:jc w:val="left"/>
            </w:pPr>
            <w:r w:rsidRPr="00B51883">
              <w:t>19. Iebilstam pret Noteikumu projekta 1.pielikuma 15.punktu.</w:t>
            </w:r>
            <w:r w:rsidRPr="00B51883">
              <w:br/>
            </w:r>
            <w:r w:rsidRPr="00B51883">
              <w:rPr>
                <w:b/>
              </w:rPr>
              <w:t>Pamatojums:</w:t>
            </w:r>
            <w:r w:rsidRPr="00B51883">
              <w:br/>
              <w:t>Noteikumu projekta 1.pielikuma 15.punkts nosaka fiziskās drošības prasības ģeogrāfiskajam izvietojumam: Īpaši izvēlētas lokācijas ar minimālu dabas un cilvēku radītu risku.</w:t>
            </w:r>
            <w:r w:rsidRPr="00B51883">
              <w:br/>
              <w:t xml:space="preserve">Noteikumu projektā nav lietderīgi izmantot jebkuras prasības, kas nav formulētas nomērāmās vai salīdzināmās kategorijās. Prasībās iekļautais formulējums “īpaši izvēlētas” ir bezmērķīgs, jo </w:t>
            </w:r>
            <w:r w:rsidRPr="00B51883">
              <w:lastRenderedPageBreak/>
              <w:t>novērtējuma laikā to nav iespējams verificēt, ja nav definēti konkrēti kritēriji.</w:t>
            </w:r>
            <w:r w:rsidRPr="00B51883">
              <w:br/>
              <w:t>Nozares standartos izmanto vairāku un konkrētu kritēriju kopumu, kādam jāatbilst izvēlētajai datu centru vietai, piem., vēsturiskie dati no valsts institūciju datu bāzēm par plūdiem šajās teritorijās pēdējo N gados, attālums no dzelzceļa, lidostas u.c.</w:t>
            </w:r>
            <w:r w:rsidRPr="00B51883">
              <w:br/>
            </w:r>
            <w:r w:rsidRPr="00B51883">
              <w:rPr>
                <w:b/>
              </w:rPr>
              <w:t>Priekšlikums:</w:t>
            </w:r>
            <w:r w:rsidRPr="00B51883">
              <w:br/>
              <w:t>Svītrot Noteikumu projekta 1.pielikuma 15.punktu</w:t>
            </w:r>
            <w:r w:rsidRPr="00B51883">
              <w:br/>
            </w:r>
          </w:p>
        </w:tc>
        <w:tc>
          <w:tcPr>
            <w:tcW w:w="1650" w:type="dxa"/>
            <w:shd w:val="clear" w:color="auto" w:fill="FFFFFF"/>
            <w:noWrap/>
            <w:tcMar>
              <w:top w:w="75" w:type="dxa"/>
              <w:left w:w="75" w:type="dxa"/>
              <w:bottom w:w="75" w:type="dxa"/>
              <w:right w:w="75" w:type="dxa"/>
            </w:tcMar>
            <w:vAlign w:val="center"/>
          </w:tcPr>
          <w:p w14:paraId="5D11CA89" w14:textId="483943C2" w:rsidR="006E22FB" w:rsidRPr="00B51883" w:rsidRDefault="006E22FB" w:rsidP="004B28DC">
            <w:pPr>
              <w:jc w:val="left"/>
            </w:pPr>
            <w:r w:rsidRPr="00B51883">
              <w:rPr>
                <w:bCs/>
              </w:rPr>
              <w:lastRenderedPageBreak/>
              <w:t>ņemts vērā daļēji</w:t>
            </w:r>
          </w:p>
        </w:tc>
        <w:tc>
          <w:tcPr>
            <w:tcW w:w="4056" w:type="dxa"/>
            <w:shd w:val="clear" w:color="auto" w:fill="FFFFFF"/>
            <w:noWrap/>
            <w:tcMar>
              <w:top w:w="75" w:type="dxa"/>
              <w:left w:w="75" w:type="dxa"/>
              <w:bottom w:w="75" w:type="dxa"/>
              <w:right w:w="75" w:type="dxa"/>
            </w:tcMar>
            <w:vAlign w:val="center"/>
          </w:tcPr>
          <w:p w14:paraId="04DBFB94" w14:textId="042A5017" w:rsidR="006E22FB" w:rsidRPr="00B51883" w:rsidRDefault="006E22FB" w:rsidP="004B28DC">
            <w:pPr>
              <w:jc w:val="left"/>
            </w:pPr>
            <w:r w:rsidRPr="00B51883">
              <w:t>Noteikumu projekta 1. pielikuma 15. punkts ir precizēts, norādot kritērijus datu centra ģeogrāfiskās atrašanās vietas izvērtēšanai.</w:t>
            </w:r>
          </w:p>
          <w:p w14:paraId="0E93CD6D" w14:textId="59E24EE8" w:rsidR="006E22FB" w:rsidRPr="00B51883" w:rsidRDefault="006E22FB" w:rsidP="004B28DC">
            <w:pPr>
              <w:jc w:val="left"/>
            </w:pPr>
            <w:r w:rsidRPr="00B51883">
              <w:t>Izņemts termins “īpaši izvēlētas lokācijas” un tā vietā noteikti izvērtēšanas kritēriji, fokusējoties uz pieejamības, drošības un infrastruktūras faktoriem (elektroapgāde, telekomunikācijas , ūdensapgādes infrastruktūra, nesankcionētu piekļuve vai sabotāža, cilvēku plūsma).</w:t>
            </w:r>
          </w:p>
        </w:tc>
      </w:tr>
      <w:tr w:rsidR="006E22FB" w:rsidRPr="00B51883" w14:paraId="7AA16470" w14:textId="77777777">
        <w:tc>
          <w:tcPr>
            <w:tcW w:w="750" w:type="dxa"/>
            <w:vMerge/>
            <w:shd w:val="clear" w:color="auto" w:fill="FFFFFF"/>
            <w:noWrap/>
            <w:tcMar>
              <w:top w:w="75" w:type="dxa"/>
              <w:left w:w="75" w:type="dxa"/>
              <w:bottom w:w="75" w:type="dxa"/>
              <w:right w:w="75" w:type="dxa"/>
            </w:tcMar>
            <w:vAlign w:val="center"/>
          </w:tcPr>
          <w:p w14:paraId="1D6141D7"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37278762"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02818FE0" w14:textId="2EE96667" w:rsidR="006E22FB" w:rsidRPr="00B51883" w:rsidRDefault="006E22FB" w:rsidP="004B28DC">
            <w:pPr>
              <w:jc w:val="left"/>
            </w:pPr>
            <w:r w:rsidRPr="00B51883">
              <w:br/>
              <w:t>20. Iebilstam pret Noteikumu projekta 1.pielikuma 16.punktu.</w:t>
            </w:r>
            <w:r w:rsidRPr="00B51883">
              <w:br/>
            </w:r>
            <w:r w:rsidRPr="00B51883">
              <w:rPr>
                <w:b/>
              </w:rPr>
              <w:t>Pamatojums:</w:t>
            </w:r>
            <w:r w:rsidRPr="00B51883">
              <w:br/>
              <w:t xml:space="preserve">Noteikumu projekta 1.pielikuma 16.punkts nosaka fiziskās drošības prasības apsardzes personālam: Nodrošināts, ka apsardzes personāls ir augsti kvalificēts un regulāri apmācīts, veicot apmācības vismaz reizi sešos mēnešos. Apsardzes personāls </w:t>
            </w:r>
            <w:r w:rsidRPr="00B51883">
              <w:lastRenderedPageBreak/>
              <w:t>atrodas objektā 24/7 vai tiek nodrošināts, ka reakcijas laiks pēc incidenta atklāšanas nepārsniedz 15 minūtes, kurā apsardzes personāls ierodas objektā.</w:t>
            </w:r>
            <w:r w:rsidRPr="00B51883">
              <w:br/>
              <w:t>Noteikumu projekta 1.pielikuma 16.punktā mūsu ieskatā nav lietderīgi iekļaut jebkuras prasības, kas nav formulētas nomērāmās vai salīdzināmās kategorijās. Prasībās iekļautais formulējums “augsti kvalificēts” ir bezmērķīgs, jo novērtējuma laikā to nav iespējams verificēt, ja nav definēti konkrēti kritēriji.</w:t>
            </w:r>
            <w:r w:rsidRPr="00B51883">
              <w:br/>
              <w:t>- Visbiežāk apsardzi datu centra objektos nodrošina ārpakalpojuma sniedzējs (vai arī Valsts policija), nevis datu centra uzņēmuma darbinieks, tāpēc šajos noteikumos definēt apmācības biežumu, ja netiek definēts apmācību virziens, mērķis un pārbaudāmie rezultāti, ir bezmērķīgs. To regulē pušu līgumsaistības un citi drošības kritēriji.</w:t>
            </w:r>
            <w:r w:rsidRPr="00B51883">
              <w:br/>
              <w:t xml:space="preserve">- Apsardzes sfēra ir sertificēta nozare, kurai ir savi nozares </w:t>
            </w:r>
            <w:r w:rsidRPr="00B51883">
              <w:lastRenderedPageBreak/>
              <w:t>kritēriji – gan iestādei, gan tās darbiniekiem, līdz ar to prasībām būtu jābūt saistītām ar Apsardzes nozares prasībām.</w:t>
            </w:r>
            <w:r w:rsidRPr="00B51883">
              <w:br/>
              <w:t>- Noteikumos minētā prasība “reakcijas laiks pēc incidenta atklāšanas nepārsniedz 15 minūtes” bez skaidrojuma par to, kas šos incidentus atklāj un kādā veidā, ir bezmērķīga, jo konkrēto minūšu reakcijas laika atbilstība vai neatbilstība neraksturo apsardzes dienesta funkciju pareizu izpildi.</w:t>
            </w:r>
            <w:r w:rsidRPr="00B51883">
              <w:br/>
              <w:t>- Nozares standarti apraksta principus, kādā veidā jāveic apsardzes funkcijas un kādas tehnoloģiskās sistēmas ir jāizmanto, kas ļauj veikt šo prasību izpildes verifikāciju pārbaudes (audita) gadījumā.</w:t>
            </w:r>
            <w:r w:rsidRPr="00B51883">
              <w:br/>
            </w:r>
            <w:r w:rsidRPr="00B51883">
              <w:rPr>
                <w:b/>
              </w:rPr>
              <w:t>Priekšlikums:</w:t>
            </w:r>
            <w:r w:rsidRPr="00B51883">
              <w:br/>
              <w:t>Precizēt Noteikumu projekta 1.pielikuma 16.punktu atbilstoši norādītajām neprecizitātēm.</w:t>
            </w:r>
          </w:p>
        </w:tc>
        <w:tc>
          <w:tcPr>
            <w:tcW w:w="1650" w:type="dxa"/>
            <w:shd w:val="clear" w:color="auto" w:fill="FFFFFF"/>
            <w:noWrap/>
            <w:tcMar>
              <w:top w:w="75" w:type="dxa"/>
              <w:left w:w="75" w:type="dxa"/>
              <w:bottom w:w="75" w:type="dxa"/>
              <w:right w:w="75" w:type="dxa"/>
            </w:tcMar>
            <w:vAlign w:val="center"/>
          </w:tcPr>
          <w:p w14:paraId="3F792C9D" w14:textId="29C65964" w:rsidR="006E22FB" w:rsidRPr="00B51883" w:rsidRDefault="006E22FB" w:rsidP="004B28DC">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7595183F" w14:textId="60ADA615" w:rsidR="006E22FB" w:rsidRPr="00B51883" w:rsidRDefault="006E22FB" w:rsidP="00E9772B">
            <w:pPr>
              <w:jc w:val="left"/>
            </w:pPr>
            <w:r w:rsidRPr="00B51883">
              <w:t xml:space="preserve">Noteikumu projekta 1. pielikuma 16. punkts ir precizēts. Pievienota atsauce uz Apsardzes darbības likumu. Precizēta apsardzes funkciju organizēšana, nosakot, ka apsardzes personālam jābūt sertificētam un kvalificētam, kā arī jābūt pieejamām attiecīgajām tehnoloģijām un informācijai. Precizētas apmācību prasības, lai nodrošinātu, ka apsardzes personālam ir prasmes darbam </w:t>
            </w:r>
            <w:r w:rsidRPr="00B51883">
              <w:lastRenderedPageBreak/>
              <w:t>konkrētā datu centra drošības sistēmām. Precizēta reakcijas laika definīcija, norādot, ka tas ir laiks no incidenta pieteikšanas vai tehnoloģisko risinājumu trauksmes, līdz pirmajām apsardzes personāla darbībām.</w:t>
            </w:r>
          </w:p>
          <w:p w14:paraId="26B14B45" w14:textId="39C9D7AE" w:rsidR="006E22FB" w:rsidRPr="00B51883" w:rsidRDefault="006E22FB" w:rsidP="008A388C">
            <w:pPr>
              <w:jc w:val="left"/>
            </w:pPr>
            <w:r w:rsidRPr="00B51883">
              <w:t>Pievienoti apakšpunkti, kas paredz tehnoloģisku risinājumu izmantošanu apsardzes funkciju atbalstam.</w:t>
            </w:r>
          </w:p>
        </w:tc>
      </w:tr>
      <w:tr w:rsidR="006E22FB" w:rsidRPr="00B51883" w14:paraId="6422CC3B" w14:textId="77777777">
        <w:tc>
          <w:tcPr>
            <w:tcW w:w="750" w:type="dxa"/>
            <w:vMerge/>
            <w:shd w:val="clear" w:color="auto" w:fill="FFFFFF"/>
            <w:noWrap/>
            <w:tcMar>
              <w:top w:w="75" w:type="dxa"/>
              <w:left w:w="75" w:type="dxa"/>
              <w:bottom w:w="75" w:type="dxa"/>
              <w:right w:w="75" w:type="dxa"/>
            </w:tcMar>
            <w:vAlign w:val="center"/>
          </w:tcPr>
          <w:p w14:paraId="4BE111FC"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147BC30C"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6AF6564F" w14:textId="2601D3B8" w:rsidR="006E22FB" w:rsidRPr="00B51883" w:rsidRDefault="006E22FB" w:rsidP="004B28DC">
            <w:pPr>
              <w:jc w:val="left"/>
            </w:pPr>
            <w:r w:rsidRPr="00B51883">
              <w:t>21. Iebilstam pret Noteikumu projekta 1.pielikuma 17.punktu.</w:t>
            </w:r>
            <w:r w:rsidRPr="00B51883">
              <w:br/>
            </w:r>
            <w:r w:rsidRPr="00B51883">
              <w:rPr>
                <w:b/>
              </w:rPr>
              <w:lastRenderedPageBreak/>
              <w:t>Pamatojums:</w:t>
            </w:r>
            <w:r w:rsidRPr="00B51883">
              <w:br/>
              <w:t>Noteikumu projekta 1.pielikuma 17.punkts nosaka fiziskās drošības prasības ugunsdrošības sistēmai to pārbaudēm un uzraudzībai: Datu centrs atbilst spēkā esošajiem ugunsdrošības normatīvajiem aktiem. Datu centrā ir papildus drošības risinājumi, piemēram, ugunsdrošības sistēmas ar dūmu detektoriem un automātisko ugunsdzēšanu, kas piemērota datu centru telpām. Tiek veiktas ugunsdrošības sistēmas pārbaudes un testi vismaz reizi sešos mēnešos, bet ne retāk kā noteikts ražotāja dokumentācijā, un tiek nodrošināta nepārtraukta reāllaika ugunsdrošības sistēmu uzraudzība drošības uzraudzības centrā.</w:t>
            </w:r>
            <w:r w:rsidRPr="00B51883">
              <w:br/>
              <w:t xml:space="preserve">Noteikumu projekta 1.pielikuma 17.punktā iekļautā prasība par ugunsdrošības sistēmas pārbaudes veikšanu konkrētā laika posmā (6 mēneši) nav lietderīga, jo datu centra dažādajiem ugunsdrošības sistēmas (piem., sensoriem, aspirācijas sistēmai, skābekļa </w:t>
            </w:r>
            <w:r w:rsidRPr="00B51883">
              <w:lastRenderedPageBreak/>
              <w:t>reducēšanas sistēmai, gāzes automātiskās dzēšanas sistēmai) elementiem ir dažādas apkopes un pārbaudes procedūras, to nosaka gan Latvijas normatīvie akti, gan arī ražotāju noteiktās ekspluatācijas normas.</w:t>
            </w:r>
            <w:r w:rsidRPr="00B51883">
              <w:br/>
              <w:t>Noteikumu projekta 1.pielikuma 17.punktā minētais termins “drošības uzraudzības centrs” bez šī termina skaidrojuma ir bezmērķīgs, jo audita veikšanas laikā nebūs iespējams noteikt, kas tieši atbilst šāda “drošības uzraudzības centrs” kritērijiem.</w:t>
            </w:r>
            <w:r w:rsidRPr="00B51883">
              <w:br/>
            </w:r>
            <w:r w:rsidRPr="00B51883">
              <w:rPr>
                <w:b/>
              </w:rPr>
              <w:t>Priekšlikums:</w:t>
            </w:r>
            <w:r w:rsidRPr="00B51883">
              <w:br/>
              <w:t>Precizēt Noteikumu projekta 1.pielikuma 17.punktu.</w:t>
            </w:r>
            <w:r w:rsidRPr="00B51883">
              <w:br/>
            </w:r>
            <w:r w:rsidRPr="00B51883">
              <w:br/>
            </w:r>
          </w:p>
        </w:tc>
        <w:tc>
          <w:tcPr>
            <w:tcW w:w="1650" w:type="dxa"/>
            <w:shd w:val="clear" w:color="auto" w:fill="FFFFFF"/>
            <w:noWrap/>
            <w:tcMar>
              <w:top w:w="75" w:type="dxa"/>
              <w:left w:w="75" w:type="dxa"/>
              <w:bottom w:w="75" w:type="dxa"/>
              <w:right w:w="75" w:type="dxa"/>
            </w:tcMar>
            <w:vAlign w:val="center"/>
          </w:tcPr>
          <w:p w14:paraId="075A0253" w14:textId="0433300D" w:rsidR="006E22FB" w:rsidRPr="00B51883" w:rsidRDefault="006E22FB" w:rsidP="004B28DC">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2317D3BD" w14:textId="3F27CF0D" w:rsidR="006E22FB" w:rsidRPr="00B51883" w:rsidRDefault="006E22FB" w:rsidP="004343B5">
            <w:pPr>
              <w:jc w:val="left"/>
            </w:pPr>
            <w:r w:rsidRPr="00B51883">
              <w:t xml:space="preserve">Noteikumu projekta 1. pielikuma 17. punkts ir precizēts. Izņemts </w:t>
            </w:r>
            <w:r w:rsidRPr="00B51883">
              <w:lastRenderedPageBreak/>
              <w:t>konkrētais termiņš ugunsdrošības sistēmu pārbaudei (6 mēneši), jo dažādiem ugunsdrošības elementiem ir atšķirīgas apkopes un pārbaudes procedūras, kuras nosaka normatīvie akti un ražotāju ekspluatācijas prasības. Precizēta terminoloģija, aizstājot neskaidro terminu “drošības uzraudzības centrs” ar “datu centra ugunsdrošības uzraudzības risinājumu”. Iekļautas prasības attiecībā uz ugunsdrošības sistēmu nepārtrauktu darbību infrastruktūras traucējumu gadījumā.</w:t>
            </w:r>
          </w:p>
        </w:tc>
      </w:tr>
      <w:tr w:rsidR="006E22FB" w:rsidRPr="00B51883" w14:paraId="5C928D50" w14:textId="77777777">
        <w:tc>
          <w:tcPr>
            <w:tcW w:w="750" w:type="dxa"/>
            <w:vMerge/>
            <w:shd w:val="clear" w:color="auto" w:fill="FFFFFF"/>
            <w:noWrap/>
            <w:tcMar>
              <w:top w:w="75" w:type="dxa"/>
              <w:left w:w="75" w:type="dxa"/>
              <w:bottom w:w="75" w:type="dxa"/>
              <w:right w:w="75" w:type="dxa"/>
            </w:tcMar>
            <w:vAlign w:val="center"/>
          </w:tcPr>
          <w:p w14:paraId="0E9A7DF4"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57DEA878"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13F1F197" w14:textId="7D440D93" w:rsidR="006E22FB" w:rsidRPr="00B51883" w:rsidRDefault="006E22FB" w:rsidP="004B28DC">
            <w:pPr>
              <w:jc w:val="left"/>
            </w:pPr>
            <w:r w:rsidRPr="00B51883">
              <w:t>22. Iebilstam pret Noteikumu projekta 1.pielikuma 20.punktu.</w:t>
            </w:r>
            <w:r w:rsidRPr="00B51883">
              <w:br/>
            </w:r>
            <w:r w:rsidRPr="00B51883">
              <w:rPr>
                <w:b/>
              </w:rPr>
              <w:t>Pamatojums:</w:t>
            </w:r>
            <w:r w:rsidRPr="00B51883">
              <w:br/>
              <w:t xml:space="preserve">Noteikumu projekta 1.pielikuma 20.punkts nosaka pieejamības prasības plānotajiem pārtraukumiem: Ieplānotie </w:t>
            </w:r>
            <w:r w:rsidRPr="00B51883">
              <w:lastRenderedPageBreak/>
              <w:t>uzturēšanas darbi tiek veikti saskaņā ar iepriekš noteiktajiem grafikiem, tiek klientiem iepriekš paziņoti, un nepārsniedz 2 stundas.</w:t>
            </w:r>
            <w:r w:rsidRPr="00B51883">
              <w:br/>
              <w:t>Nozares standarti neparedz konkrēto ierobežojumu (stundās) saskaņoto darbu ilgumam, tie netiek iekļauti kopējā datu centra pieejamības aprēķina metodikā.</w:t>
            </w:r>
            <w:r w:rsidRPr="00B51883">
              <w:br/>
              <w:t>Esošajā redakcijā prasība konfliktē ar Noteikumu projekta 1.pielikuma 19. punktu, kas nosaka, ka apkopes tiek veiktas bez darbības pārtraukuma.</w:t>
            </w:r>
            <w:r w:rsidRPr="00B51883">
              <w:br/>
            </w:r>
            <w:r w:rsidRPr="00B51883">
              <w:rPr>
                <w:b/>
              </w:rPr>
              <w:t>Priekšlikums:</w:t>
            </w:r>
            <w:r w:rsidRPr="00B51883">
              <w:br/>
              <w:t>Svītrot Noteikumu projekta 1.pielikuma 20.punktu.</w:t>
            </w:r>
            <w:r w:rsidRPr="00B51883">
              <w:br/>
            </w:r>
          </w:p>
        </w:tc>
        <w:tc>
          <w:tcPr>
            <w:tcW w:w="1650" w:type="dxa"/>
            <w:shd w:val="clear" w:color="auto" w:fill="FFFFFF"/>
            <w:noWrap/>
            <w:tcMar>
              <w:top w:w="75" w:type="dxa"/>
              <w:left w:w="75" w:type="dxa"/>
              <w:bottom w:w="75" w:type="dxa"/>
              <w:right w:w="75" w:type="dxa"/>
            </w:tcMar>
            <w:vAlign w:val="center"/>
          </w:tcPr>
          <w:p w14:paraId="43CDFA35" w14:textId="04488D58" w:rsidR="006E22FB" w:rsidRPr="00B51883" w:rsidRDefault="006E22FB" w:rsidP="004B28DC">
            <w:pPr>
              <w:jc w:val="left"/>
            </w:pPr>
            <w:r w:rsidRPr="00B51883">
              <w:lastRenderedPageBreak/>
              <w:t>ņemts vērā daļēji</w:t>
            </w:r>
          </w:p>
        </w:tc>
        <w:tc>
          <w:tcPr>
            <w:tcW w:w="4056" w:type="dxa"/>
            <w:shd w:val="clear" w:color="auto" w:fill="FFFFFF"/>
            <w:noWrap/>
            <w:tcMar>
              <w:top w:w="75" w:type="dxa"/>
              <w:left w:w="75" w:type="dxa"/>
              <w:bottom w:w="75" w:type="dxa"/>
              <w:right w:w="75" w:type="dxa"/>
            </w:tcMar>
            <w:vAlign w:val="center"/>
          </w:tcPr>
          <w:p w14:paraId="41083599" w14:textId="17251DA9" w:rsidR="006E22FB" w:rsidRPr="00B51883" w:rsidRDefault="006E22FB" w:rsidP="004952D4">
            <w:pPr>
              <w:jc w:val="left"/>
            </w:pPr>
            <w:r w:rsidRPr="00B51883">
              <w:t xml:space="preserve">Noteikumu projekta 1. pielikuma 20. punktā ar jauno redakciju tiek precizēts, ka plānotie uzturēšanas darbi tiek veikti saskaņā ar iepriekš apstiprinātiem uzturēšanas grafikiem, ņemot vērā </w:t>
            </w:r>
            <w:r w:rsidRPr="00B51883">
              <w:lastRenderedPageBreak/>
              <w:t>datu centra darbības nepārtrauktības prasības.</w:t>
            </w:r>
          </w:p>
          <w:p w14:paraId="5004A09D" w14:textId="72FCFBC1" w:rsidR="006E22FB" w:rsidRPr="00B51883" w:rsidRDefault="006E22FB" w:rsidP="004952D4">
            <w:pPr>
              <w:jc w:val="left"/>
            </w:pPr>
            <w:r w:rsidRPr="00B51883">
              <w:t>Noņemts konkrētais laika ierobežojums (2 stundas). Tā vietā tiek noteikts, ka uzturēšanas darbi , kas var ietekmēt klienta aparatūru tiek plānoti saskaņojot klientu. Precizēta informēšanas kārtība par plānotajiem uzturēšanas darbiem, nosakot, ka klienti tiek informēti ne vēlāk kā 5 darba dienas pirms darbu uzsākšanas. Pievienota prasība par uzturēšanas darbu dokumentāciju.</w:t>
            </w:r>
          </w:p>
        </w:tc>
      </w:tr>
      <w:tr w:rsidR="006E22FB" w:rsidRPr="00B51883" w14:paraId="666253C8" w14:textId="77777777">
        <w:tc>
          <w:tcPr>
            <w:tcW w:w="750" w:type="dxa"/>
            <w:vMerge/>
            <w:shd w:val="clear" w:color="auto" w:fill="FFFFFF"/>
            <w:noWrap/>
            <w:tcMar>
              <w:top w:w="75" w:type="dxa"/>
              <w:left w:w="75" w:type="dxa"/>
              <w:bottom w:w="75" w:type="dxa"/>
              <w:right w:w="75" w:type="dxa"/>
            </w:tcMar>
            <w:vAlign w:val="center"/>
          </w:tcPr>
          <w:p w14:paraId="1044D9C7"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3C636735"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4C7B33C5" w14:textId="65350BDA" w:rsidR="006E22FB" w:rsidRPr="00B51883" w:rsidRDefault="006E22FB" w:rsidP="004B28DC">
            <w:pPr>
              <w:jc w:val="left"/>
            </w:pPr>
            <w:r w:rsidRPr="00B51883">
              <w:t>23. Iebilstam pret Noteikumu projekta 1.pielikuma 21.punktu.</w:t>
            </w:r>
            <w:r w:rsidRPr="00B51883">
              <w:br/>
            </w:r>
            <w:r w:rsidRPr="00B51883">
              <w:rPr>
                <w:b/>
              </w:rPr>
              <w:t>Pamatojums:</w:t>
            </w:r>
            <w:r w:rsidRPr="00B51883">
              <w:br/>
              <w:t xml:space="preserve">Noteikumu projekta 1.pielikuma 21.punkts nosaka pieejamības prasības neparedzētiem pārtraukumiem: Reakcijas laiks, lai identificētu un sākotnēji </w:t>
            </w:r>
            <w:r w:rsidRPr="00B51883">
              <w:lastRenderedPageBreak/>
              <w:t>novērstu problēmu, nepārsniedz 15 minūtes.</w:t>
            </w:r>
            <w:r w:rsidRPr="00B51883">
              <w:br/>
              <w:t>Kļūdaini lietots termins “Reakcijas laiks”, ja ar to saprot arī problēmu novēršanu. Nozares standartos lieto dažādus terminus:</w:t>
            </w:r>
            <w:r w:rsidRPr="00B51883">
              <w:br/>
              <w:t>“Reakcijas laiks” – laiks, kurā servisa organizācijas atbild uz pieteikto bojājumu un uzsāk novēršanas procesu (nekādu problēmu novēršanu tas neparedz);</w:t>
            </w:r>
            <w:r w:rsidRPr="00B51883">
              <w:br/>
              <w:t>“Novēršanas laiks” - laiks, kurā servisa organizācija ir novērsusi pieteikto bojājumu un servisa pieteikums ir slēgts.</w:t>
            </w:r>
            <w:r w:rsidRPr="00B51883">
              <w:br/>
              <w:t>Nav lietderīgi MK noteikumos limitēt šādu reakcijas laiku, jo to nosaka pakalpojuma sniegšanas līgumā, izvērtējot palīdzības dienesta procedūras un piesaistītos resursus.</w:t>
            </w:r>
            <w:r w:rsidRPr="00B51883">
              <w:br/>
            </w:r>
            <w:r w:rsidRPr="00B51883">
              <w:rPr>
                <w:b/>
              </w:rPr>
              <w:t>Priekšlikums:</w:t>
            </w:r>
            <w:r w:rsidRPr="00B51883">
              <w:br/>
              <w:t>Svītrot Noteikumu projekta 1.pielikuma 21.punktu.</w:t>
            </w:r>
            <w:r w:rsidRPr="00B51883">
              <w:br/>
            </w:r>
          </w:p>
        </w:tc>
        <w:tc>
          <w:tcPr>
            <w:tcW w:w="1650" w:type="dxa"/>
            <w:shd w:val="clear" w:color="auto" w:fill="FFFFFF"/>
            <w:noWrap/>
            <w:tcMar>
              <w:top w:w="75" w:type="dxa"/>
              <w:left w:w="75" w:type="dxa"/>
              <w:bottom w:w="75" w:type="dxa"/>
              <w:right w:w="75" w:type="dxa"/>
            </w:tcMar>
            <w:vAlign w:val="center"/>
          </w:tcPr>
          <w:p w14:paraId="2D7DEC67" w14:textId="6066D28E" w:rsidR="006E22FB" w:rsidRPr="00B51883" w:rsidRDefault="006E22FB" w:rsidP="004B28DC">
            <w:pPr>
              <w:jc w:val="left"/>
            </w:pPr>
            <w:r w:rsidRPr="00B51883">
              <w:lastRenderedPageBreak/>
              <w:t>ņemts vērā daļēji</w:t>
            </w:r>
          </w:p>
        </w:tc>
        <w:tc>
          <w:tcPr>
            <w:tcW w:w="4056" w:type="dxa"/>
            <w:shd w:val="clear" w:color="auto" w:fill="FFFFFF"/>
            <w:noWrap/>
            <w:tcMar>
              <w:top w:w="75" w:type="dxa"/>
              <w:left w:w="75" w:type="dxa"/>
              <w:bottom w:w="75" w:type="dxa"/>
              <w:right w:w="75" w:type="dxa"/>
            </w:tcMar>
            <w:vAlign w:val="center"/>
          </w:tcPr>
          <w:p w14:paraId="4438B395" w14:textId="7F3C8967" w:rsidR="006E22FB" w:rsidRPr="00B51883" w:rsidRDefault="006E22FB" w:rsidP="00F61A88">
            <w:pPr>
              <w:jc w:val="left"/>
            </w:pPr>
            <w:r w:rsidRPr="00B51883">
              <w:t xml:space="preserve">Priekšlikums ir ņemts vērā daļēji, jo precizētajā redakcijā tiek  </w:t>
            </w:r>
          </w:p>
          <w:p w14:paraId="52E2EB1B" w14:textId="14B68797" w:rsidR="006E22FB" w:rsidRPr="00B51883" w:rsidRDefault="006E22FB" w:rsidP="00A129F5">
            <w:pPr>
              <w:jc w:val="left"/>
            </w:pPr>
            <w:r w:rsidRPr="00B51883">
              <w:t xml:space="preserve">nošķirts "reakcijas laiks" un "novēršanas laiks", definējot, ka reakcijas laiks attiecas uz incidenta reģistrāciju un sākotnējās novērtēšanas uzsākšanu, savukārt novēršanas </w:t>
            </w:r>
            <w:r w:rsidRPr="00B51883">
              <w:lastRenderedPageBreak/>
              <w:t>laiks attiecas uz faktisko problēmas novēršanu. Iekļauta prasība, ka novēršanas laiku nosaka incidenta kritiskuma līmenis un SLA (Service Level Agreement) prasības. Pievienota incidenta novēršanas dokumentēšanas prasība.</w:t>
            </w:r>
          </w:p>
        </w:tc>
      </w:tr>
      <w:tr w:rsidR="006E22FB" w:rsidRPr="00B51883" w14:paraId="711CF31E" w14:textId="77777777">
        <w:tc>
          <w:tcPr>
            <w:tcW w:w="750" w:type="dxa"/>
            <w:vMerge/>
            <w:shd w:val="clear" w:color="auto" w:fill="FFFFFF"/>
            <w:noWrap/>
            <w:tcMar>
              <w:top w:w="75" w:type="dxa"/>
              <w:left w:w="75" w:type="dxa"/>
              <w:bottom w:w="75" w:type="dxa"/>
              <w:right w:w="75" w:type="dxa"/>
            </w:tcMar>
            <w:vAlign w:val="center"/>
          </w:tcPr>
          <w:p w14:paraId="31872A1C"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29674685"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7A0927B1" w14:textId="7EA7A907" w:rsidR="006E22FB" w:rsidRPr="00B51883" w:rsidRDefault="006E22FB" w:rsidP="004B28DC">
            <w:pPr>
              <w:jc w:val="left"/>
            </w:pPr>
            <w:r w:rsidRPr="00B51883">
              <w:t>24. Iebilstam pret Noteikumu projekta 1.pielikuma 23.punktu.</w:t>
            </w:r>
            <w:r w:rsidRPr="00B51883">
              <w:br/>
            </w:r>
            <w:r w:rsidRPr="00B51883">
              <w:rPr>
                <w:b/>
              </w:rPr>
              <w:t>Pamatojums:</w:t>
            </w:r>
            <w:r w:rsidRPr="00B51883">
              <w:br/>
              <w:t>Noteikumu projekta 1.pielikuma 23.punkts nosaka pieejamības prasības darbības atjaunošanai.</w:t>
            </w:r>
            <w:r w:rsidRPr="00B51883">
              <w:br/>
              <w:t>“23.1.    Atjaunošanas laika mērķis (RTO - Maksimālais pieļaujamais laiks, kura laikā datu centra pakalpojuma darbība ir atjaunojama pēc pārtraukuma) nepārsniedz 1 stundu.</w:t>
            </w:r>
            <w:r w:rsidRPr="00B51883">
              <w:br/>
              <w:t>23.2.    Atjaunošanas punkta mērķis (RPO - maksimālais pieļaujamais datu zuduma apjoms, kas izteikts laikā) nepārsniedz 15 minūtes;</w:t>
            </w:r>
            <w:r w:rsidRPr="00B51883">
              <w:br/>
              <w:t>23.3.    Maksimālais pieļaujamais pārtraukuma laiks (MTO - maksimālais laiks, kuru uzņēmums vai sistēma var atļauties būt nepieejama pirms tam, kad pārtraukums sāk radīt nopietnas un neatgriezeniskas sekas uzņēmējdarbībai) nepārsniedz 2 stundas”.</w:t>
            </w:r>
            <w:r w:rsidRPr="00B51883">
              <w:br/>
              <w:t xml:space="preserve">Noteikumu projekta 1.pielikuma 23.punktā un tā apakšpunktos </w:t>
            </w:r>
            <w:r w:rsidRPr="00B51883">
              <w:lastRenderedPageBreak/>
              <w:t>iekļautie darbības atjaunošanas parametri attiecas uz IKT sistēmām, nevis datu centru infrastruktūru.</w:t>
            </w:r>
            <w:r w:rsidRPr="00B51883">
              <w:br/>
            </w:r>
            <w:r w:rsidRPr="00B51883">
              <w:rPr>
                <w:b/>
              </w:rPr>
              <w:t>Priekšlikums:</w:t>
            </w:r>
            <w:r w:rsidRPr="00B51883">
              <w:br/>
              <w:t>Pārcelt prasības, kas mērāmas RPO, RTO un MTO uz Noteikumu projekta 1.pielikuma VI sadaļu par pakalpojumu prasībām IKT sistēmām.</w:t>
            </w:r>
            <w:r w:rsidRPr="00B51883">
              <w:br/>
            </w:r>
          </w:p>
        </w:tc>
        <w:tc>
          <w:tcPr>
            <w:tcW w:w="1650" w:type="dxa"/>
            <w:shd w:val="clear" w:color="auto" w:fill="FFFFFF"/>
            <w:noWrap/>
            <w:tcMar>
              <w:top w:w="75" w:type="dxa"/>
              <w:left w:w="75" w:type="dxa"/>
              <w:bottom w:w="75" w:type="dxa"/>
              <w:right w:w="75" w:type="dxa"/>
            </w:tcMar>
            <w:vAlign w:val="center"/>
          </w:tcPr>
          <w:p w14:paraId="4C44A72A" w14:textId="6CDD12DA" w:rsidR="006E22FB" w:rsidRPr="00B51883" w:rsidRDefault="006E22FB" w:rsidP="004B28DC">
            <w:pPr>
              <w:jc w:val="left"/>
            </w:pPr>
            <w:r w:rsidRPr="00B51883">
              <w:lastRenderedPageBreak/>
              <w:t>ņemts vērā daļēji</w:t>
            </w:r>
          </w:p>
        </w:tc>
        <w:tc>
          <w:tcPr>
            <w:tcW w:w="4056" w:type="dxa"/>
            <w:shd w:val="clear" w:color="auto" w:fill="FFFFFF"/>
            <w:noWrap/>
            <w:tcMar>
              <w:top w:w="75" w:type="dxa"/>
              <w:left w:w="75" w:type="dxa"/>
              <w:bottom w:w="75" w:type="dxa"/>
              <w:right w:w="75" w:type="dxa"/>
            </w:tcMar>
            <w:vAlign w:val="center"/>
          </w:tcPr>
          <w:p w14:paraId="1671FC17" w14:textId="5F06AA92" w:rsidR="006E22FB" w:rsidRPr="00B51883" w:rsidRDefault="006E22FB" w:rsidP="00875BED">
            <w:pPr>
              <w:jc w:val="left"/>
            </w:pPr>
            <w:r w:rsidRPr="00B51883">
              <w:t>Priekšlikums ir ņemts vērā daļēji. Darbības atjaunošanas parametri RTO, RPO un MTO primāri attiecas uz datu centra IKT sistēmām, kas atbalsta datu centra pakalpojumu sniegšanu, nevis tikai uz datu centra infrastruktūru. Attiecīgi jaunajā redakcijā tie saglabāti, lai attiektos uz datu centra pakalpojumu pieejamību kopumā, tai skaitā IKT sistēmām.</w:t>
            </w:r>
          </w:p>
          <w:p w14:paraId="2DE0ABB0" w14:textId="77777777" w:rsidR="006E22FB" w:rsidRPr="00B51883" w:rsidRDefault="006E22FB" w:rsidP="00875BED">
            <w:pPr>
              <w:jc w:val="left"/>
            </w:pPr>
          </w:p>
          <w:p w14:paraId="00CDC576" w14:textId="5CDEB572" w:rsidR="006E22FB" w:rsidRPr="00B51883" w:rsidRDefault="006E22FB" w:rsidP="00875BED">
            <w:pPr>
              <w:jc w:val="left"/>
            </w:pPr>
            <w:r w:rsidRPr="00B51883">
              <w:t>Papildus precizēti RPO, RTO, MTO definīcijas, skaidrojot, ka tie attiecas uz kopējo datu centra pakalpojumu sniegšanas nepārtrauktību, ne tikai infrastruktūru vai konkrētu IKT sistēmu.</w:t>
            </w:r>
          </w:p>
        </w:tc>
      </w:tr>
      <w:tr w:rsidR="006E22FB" w:rsidRPr="00B51883" w14:paraId="7194B6B8" w14:textId="77777777">
        <w:tc>
          <w:tcPr>
            <w:tcW w:w="750" w:type="dxa"/>
            <w:vMerge/>
            <w:shd w:val="clear" w:color="auto" w:fill="FFFFFF"/>
            <w:noWrap/>
            <w:tcMar>
              <w:top w:w="75" w:type="dxa"/>
              <w:left w:w="75" w:type="dxa"/>
              <w:bottom w:w="75" w:type="dxa"/>
              <w:right w:w="75" w:type="dxa"/>
            </w:tcMar>
            <w:vAlign w:val="center"/>
          </w:tcPr>
          <w:p w14:paraId="71DB3844"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020A8A8F"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69723B2E" w14:textId="7132A787" w:rsidR="006E22FB" w:rsidRPr="00B51883" w:rsidRDefault="006E22FB" w:rsidP="004B28DC">
            <w:pPr>
              <w:jc w:val="left"/>
            </w:pPr>
            <w:r w:rsidRPr="00B51883">
              <w:t>25. Iebilstam pret Noteikumu projekta 1.pielikuma 23.3.apakšpunktu.</w:t>
            </w:r>
            <w:r w:rsidRPr="00B51883">
              <w:br/>
            </w:r>
            <w:r w:rsidRPr="00B51883">
              <w:rPr>
                <w:b/>
              </w:rPr>
              <w:t>Pamatojums:</w:t>
            </w:r>
            <w:r w:rsidRPr="00B51883">
              <w:br/>
              <w:t>Kļūdaini lietots termins “neatgriezeniskas sekas uzņēmējdarbībai”, jo datu centru klienti būs arī valsts un pašvaldību iestādes, kuras lielākoties neveic uzņēmējdarbību, bet nodrošina noteiktu pakalpojumu sniegšanu. Vai šīs prasības nav spēkā, ja klients ir valsts un pašvaldību iestādes?</w:t>
            </w:r>
            <w:r w:rsidRPr="00B51883">
              <w:br/>
            </w:r>
            <w:r w:rsidRPr="00B51883">
              <w:rPr>
                <w:b/>
              </w:rPr>
              <w:t>Priekšlikums:</w:t>
            </w:r>
            <w:r w:rsidRPr="00B51883">
              <w:br/>
            </w:r>
            <w:r w:rsidRPr="00B51883">
              <w:lastRenderedPageBreak/>
              <w:t>Precizēt 1.pielikuma 23.3.apakšpunktu</w:t>
            </w:r>
          </w:p>
        </w:tc>
        <w:tc>
          <w:tcPr>
            <w:tcW w:w="1650" w:type="dxa"/>
            <w:shd w:val="clear" w:color="auto" w:fill="FFFFFF"/>
            <w:noWrap/>
            <w:tcMar>
              <w:top w:w="75" w:type="dxa"/>
              <w:left w:w="75" w:type="dxa"/>
              <w:bottom w:w="75" w:type="dxa"/>
              <w:right w:w="75" w:type="dxa"/>
            </w:tcMar>
            <w:vAlign w:val="center"/>
          </w:tcPr>
          <w:p w14:paraId="5E554C7F" w14:textId="09A977C6" w:rsidR="006E22FB" w:rsidRPr="00B51883" w:rsidRDefault="006E22FB" w:rsidP="004B28DC">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09648D7D" w14:textId="32ABF597" w:rsidR="006E22FB" w:rsidRPr="00B51883" w:rsidRDefault="006E22FB" w:rsidP="00A30450">
            <w:pPr>
              <w:jc w:val="left"/>
            </w:pPr>
            <w:r w:rsidRPr="00B51883">
              <w:t>Noteikumu projekta 1. pielikuma 23.3. apakšpunkts ir precizēts, ierobežojošais un neprecīzais formulējums “neatgriezeniskas sekas uzņēmējdarbībai” papildināts šādā redakcijā “neatgriezeniskas sekas uzņēmējdarbībai vai saistīto pakalpojumu sniegšanai”, jo datu centra klienti var būt ne tikai uzņēmumi, bet arī valsts un pašvaldību iestādes.</w:t>
            </w:r>
          </w:p>
        </w:tc>
      </w:tr>
      <w:tr w:rsidR="006E22FB" w:rsidRPr="00B51883" w14:paraId="160B9F8D" w14:textId="77777777">
        <w:tc>
          <w:tcPr>
            <w:tcW w:w="750" w:type="dxa"/>
            <w:vMerge/>
            <w:shd w:val="clear" w:color="auto" w:fill="FFFFFF"/>
            <w:noWrap/>
            <w:tcMar>
              <w:top w:w="75" w:type="dxa"/>
              <w:left w:w="75" w:type="dxa"/>
              <w:bottom w:w="75" w:type="dxa"/>
              <w:right w:w="75" w:type="dxa"/>
            </w:tcMar>
            <w:vAlign w:val="center"/>
          </w:tcPr>
          <w:p w14:paraId="3D93E2FE"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6D77FA26"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2EC46669" w14:textId="5C927D66" w:rsidR="006E22FB" w:rsidRPr="00B51883" w:rsidRDefault="006E22FB" w:rsidP="004B28DC">
            <w:pPr>
              <w:jc w:val="left"/>
            </w:pPr>
            <w:r w:rsidRPr="00B51883">
              <w:t>26. Iebilstam pret Noteikumu projekta 1.pielikuma 25.punktu.</w:t>
            </w:r>
            <w:r w:rsidRPr="00B51883">
              <w:br/>
            </w:r>
            <w:r w:rsidRPr="00B51883">
              <w:rPr>
                <w:b/>
              </w:rPr>
              <w:t>Pamatojums:</w:t>
            </w:r>
            <w:r w:rsidRPr="00B51883">
              <w:br/>
              <w:t>Noteikumu projekta 1.pielikuma 25.punkts nosaka IKT pakalpojumu prasības. “25. Nodrošina standarta informācijas un komunikācijas un tehnoloģiju pakalpojumu līgumus ar prasībām attiecībā uz pieejamību, reakcijas laiku, problēmu risināšanas laiku, uzraudzību un ziņošanu parametriem (SLA), kas nav zemāki kā šajā noteikumu pielikuma sadaļās V Pieejamības prasības un VI IKT pakalpojumu prasības noteiktie”.</w:t>
            </w:r>
            <w:r w:rsidRPr="00B51883">
              <w:br/>
              <w:t xml:space="preserve">Nepieciešamas detalizēts izklāsts par IKT sistēmām, lai vienīgā prasībā nav par līgumā noteikto SLA, bet būtu atrunāts arī tehniskais nodrošinājums. Ja ir nepieciešams nodrošināt 99.982% pieejamību IKT sistēmām, tad jāapraksta mehānismi, kas IKT </w:t>
            </w:r>
            <w:r w:rsidRPr="00B51883">
              <w:lastRenderedPageBreak/>
              <w:t>sistēmai ir ieviesti, lai nodrošinātu, ka IKT sistēma darbosies ar vismaz 99.982% pieejamību.</w:t>
            </w:r>
            <w:r w:rsidRPr="00B51883">
              <w:br/>
            </w:r>
            <w:r w:rsidRPr="00B51883">
              <w:rPr>
                <w:b/>
              </w:rPr>
              <w:t>Priekšlikums:</w:t>
            </w:r>
            <w:r w:rsidRPr="00B51883">
              <w:br/>
              <w:t>Precizēt Noteikumu projekta 1.pielikuma 25.punktu</w:t>
            </w:r>
          </w:p>
        </w:tc>
        <w:tc>
          <w:tcPr>
            <w:tcW w:w="1650" w:type="dxa"/>
            <w:shd w:val="clear" w:color="auto" w:fill="FFFFFF"/>
            <w:noWrap/>
            <w:tcMar>
              <w:top w:w="75" w:type="dxa"/>
              <w:left w:w="75" w:type="dxa"/>
              <w:bottom w:w="75" w:type="dxa"/>
              <w:right w:w="75" w:type="dxa"/>
            </w:tcMar>
            <w:vAlign w:val="center"/>
          </w:tcPr>
          <w:p w14:paraId="3F99A57C" w14:textId="14EB6E83" w:rsidR="006E22FB" w:rsidRPr="00B51883" w:rsidRDefault="006E22FB" w:rsidP="004B28DC">
            <w:pPr>
              <w:jc w:val="left"/>
            </w:pPr>
            <w:r w:rsidRPr="00B51883">
              <w:lastRenderedPageBreak/>
              <w:t>Nav ņemts vērā</w:t>
            </w:r>
          </w:p>
        </w:tc>
        <w:tc>
          <w:tcPr>
            <w:tcW w:w="4056" w:type="dxa"/>
            <w:shd w:val="clear" w:color="auto" w:fill="FFFFFF"/>
            <w:noWrap/>
            <w:tcMar>
              <w:top w:w="75" w:type="dxa"/>
              <w:left w:w="75" w:type="dxa"/>
              <w:bottom w:w="75" w:type="dxa"/>
              <w:right w:w="75" w:type="dxa"/>
            </w:tcMar>
            <w:vAlign w:val="center"/>
          </w:tcPr>
          <w:p w14:paraId="01823C99" w14:textId="77777777" w:rsidR="006E22FB" w:rsidRPr="00B51883" w:rsidRDefault="006E22FB" w:rsidP="008C3740">
            <w:pPr>
              <w:jc w:val="left"/>
            </w:pPr>
            <w:r w:rsidRPr="00B51883">
              <w:t>Priekšlikums nav ņemts vērā, jo pieejamības prasības jau ir definētas sadaļās "V Pieejamības prasības" un "VI IKT pakalpojumu prasības", kas nosaka pieļaujamos darbības nepārtrauktības rādītājus un atjaunošanas laikus.</w:t>
            </w:r>
          </w:p>
          <w:p w14:paraId="7C5B5BAC" w14:textId="77777777" w:rsidR="006E22FB" w:rsidRPr="00B51883" w:rsidRDefault="006E22FB" w:rsidP="008C3740">
            <w:pPr>
              <w:jc w:val="left"/>
            </w:pPr>
          </w:p>
          <w:p w14:paraId="57D8C820" w14:textId="77777777" w:rsidR="006E22FB" w:rsidRPr="00B51883" w:rsidRDefault="006E22FB" w:rsidP="008C3740">
            <w:pPr>
              <w:jc w:val="left"/>
            </w:pPr>
            <w:r w:rsidRPr="00B51883">
              <w:t>25. punkta mērķis nav noteikt tehniskās vai organizatoriskās prasības IKT sistēmām, bet gan standartizēt SLA līgumu prasības, lai nodrošinātu vienotu pieeju attiecībā uz:</w:t>
            </w:r>
          </w:p>
          <w:p w14:paraId="4D1911EF" w14:textId="4977CA5D" w:rsidR="006E22FB" w:rsidRPr="00B51883" w:rsidRDefault="006E22FB" w:rsidP="008C3740">
            <w:pPr>
              <w:pStyle w:val="ListParagraph"/>
              <w:numPr>
                <w:ilvl w:val="0"/>
                <w:numId w:val="4"/>
              </w:numPr>
              <w:jc w:val="left"/>
            </w:pPr>
            <w:r w:rsidRPr="00B51883">
              <w:t>Pieejamības garantijām</w:t>
            </w:r>
          </w:p>
          <w:p w14:paraId="55D1E67F" w14:textId="139B3F1C" w:rsidR="006E22FB" w:rsidRPr="00B51883" w:rsidRDefault="006E22FB" w:rsidP="008C3740">
            <w:pPr>
              <w:pStyle w:val="ListParagraph"/>
              <w:numPr>
                <w:ilvl w:val="0"/>
                <w:numId w:val="4"/>
              </w:numPr>
              <w:jc w:val="left"/>
            </w:pPr>
            <w:r w:rsidRPr="00B51883">
              <w:t>Reakcijas laiku incidentu pārvaldībā</w:t>
            </w:r>
          </w:p>
          <w:p w14:paraId="70848CD2" w14:textId="45D0C92C" w:rsidR="006E22FB" w:rsidRPr="00B51883" w:rsidRDefault="006E22FB" w:rsidP="008C3740">
            <w:pPr>
              <w:pStyle w:val="ListParagraph"/>
              <w:numPr>
                <w:ilvl w:val="0"/>
                <w:numId w:val="4"/>
              </w:numPr>
              <w:jc w:val="left"/>
            </w:pPr>
            <w:r w:rsidRPr="00B51883">
              <w:t>Problēmu risināšanas laiku</w:t>
            </w:r>
          </w:p>
          <w:p w14:paraId="281B49B4" w14:textId="75C27911" w:rsidR="006E22FB" w:rsidRPr="00B51883" w:rsidRDefault="006E22FB" w:rsidP="008C3740">
            <w:pPr>
              <w:pStyle w:val="ListParagraph"/>
              <w:numPr>
                <w:ilvl w:val="0"/>
                <w:numId w:val="4"/>
              </w:numPr>
              <w:jc w:val="left"/>
            </w:pPr>
            <w:r w:rsidRPr="00B51883">
              <w:t>Monitoringa un ziņošanas prasībām</w:t>
            </w:r>
          </w:p>
          <w:p w14:paraId="39E74A25" w14:textId="77777777" w:rsidR="006E22FB" w:rsidRPr="00B51883" w:rsidRDefault="006E22FB" w:rsidP="008C3740">
            <w:pPr>
              <w:jc w:val="left"/>
            </w:pPr>
          </w:p>
          <w:p w14:paraId="7914396A" w14:textId="54C05C53" w:rsidR="006E22FB" w:rsidRPr="00B51883" w:rsidRDefault="006E22FB" w:rsidP="008C3740">
            <w:pPr>
              <w:jc w:val="left"/>
            </w:pPr>
            <w:r w:rsidRPr="00B51883">
              <w:t xml:space="preserve">Tehniskās un organizatoriskās prasības IKT sistēmām nav nepieciešams dublēt šajā punktā, </w:t>
            </w:r>
            <w:r w:rsidRPr="00B51883">
              <w:lastRenderedPageBreak/>
              <w:t>jo tās jau ir skaidri definētas attiecīgajās sadaļās.</w:t>
            </w:r>
          </w:p>
          <w:p w14:paraId="17EB9EC2" w14:textId="77777777" w:rsidR="006E22FB" w:rsidRPr="00B51883" w:rsidRDefault="006E22FB" w:rsidP="008C3740">
            <w:pPr>
              <w:jc w:val="left"/>
            </w:pPr>
          </w:p>
          <w:p w14:paraId="046E49A3" w14:textId="453626B5" w:rsidR="006E22FB" w:rsidRPr="00B51883" w:rsidRDefault="006E22FB" w:rsidP="008C3740">
            <w:pPr>
              <w:jc w:val="left"/>
            </w:pPr>
            <w:r w:rsidRPr="00B51883">
              <w:t>Ja nepieciešams detalizēt tehniskās prasības, tas būtu jārisina "VI IKT pakalpojumu prasības" sadaļā, nevis SLA līgumu vispārīgo nosacījumu ietvaros.</w:t>
            </w:r>
          </w:p>
        </w:tc>
      </w:tr>
      <w:tr w:rsidR="006E22FB" w:rsidRPr="00B51883" w14:paraId="09BDDAE4" w14:textId="77777777">
        <w:tc>
          <w:tcPr>
            <w:tcW w:w="750" w:type="dxa"/>
            <w:vMerge/>
            <w:shd w:val="clear" w:color="auto" w:fill="FFFFFF"/>
            <w:noWrap/>
            <w:tcMar>
              <w:top w:w="75" w:type="dxa"/>
              <w:left w:w="75" w:type="dxa"/>
              <w:bottom w:w="75" w:type="dxa"/>
              <w:right w:w="75" w:type="dxa"/>
            </w:tcMar>
            <w:vAlign w:val="center"/>
          </w:tcPr>
          <w:p w14:paraId="7B5CDC75"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34826DE4"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0ABE8133" w14:textId="59D79875" w:rsidR="006E22FB" w:rsidRPr="00B51883" w:rsidRDefault="006E22FB" w:rsidP="004B28DC">
            <w:pPr>
              <w:jc w:val="left"/>
            </w:pPr>
            <w:r w:rsidRPr="00B51883">
              <w:t>27. Iebilstam pret Noteikumu projekta 1.pielikuma 26.punktu.</w:t>
            </w:r>
            <w:r w:rsidRPr="00B51883">
              <w:br/>
            </w:r>
            <w:r w:rsidRPr="00B51883">
              <w:rPr>
                <w:b/>
              </w:rPr>
              <w:t>Pamatojums:</w:t>
            </w:r>
            <w:r w:rsidRPr="00B51883">
              <w:br/>
              <w:t>Noteikumu projekta 1.pielikuma 26.punkts nosaka IKT pakalpojumu prasības “26. Pārvaldības un uzraudzības rīki: Izmantot automatizētus rīkus sistēmu stāvokļa uzraudzībai reāllaikā, lai nodrošinātu nepārtrauktu sistēmu un pakalpojumu pieejamību”.</w:t>
            </w:r>
            <w:r w:rsidRPr="00B51883">
              <w:br/>
              <w:t xml:space="preserve">Noteikumu projekta 1.pielikuma 26.punktā ietvertā prasība dublē iepriekšējās prasības par uzraudzības rīkiem. Nepieciešams skaidrojums kam šī prasība ir jāizpilda:  operatoram vai </w:t>
            </w:r>
            <w:r w:rsidRPr="00B51883">
              <w:lastRenderedPageBreak/>
              <w:t>subjektam.</w:t>
            </w:r>
            <w:r w:rsidRPr="00B51883">
              <w:br/>
            </w:r>
            <w:r w:rsidRPr="00B51883">
              <w:rPr>
                <w:b/>
              </w:rPr>
              <w:t>Priekšlikums:</w:t>
            </w:r>
            <w:r w:rsidRPr="00B51883">
              <w:br/>
              <w:t>Precizēt Noteikumu projekta 1.pielikuma 26.punktu.</w:t>
            </w:r>
          </w:p>
        </w:tc>
        <w:tc>
          <w:tcPr>
            <w:tcW w:w="1650" w:type="dxa"/>
            <w:shd w:val="clear" w:color="auto" w:fill="FFFFFF"/>
            <w:noWrap/>
            <w:tcMar>
              <w:top w:w="75" w:type="dxa"/>
              <w:left w:w="75" w:type="dxa"/>
              <w:bottom w:w="75" w:type="dxa"/>
              <w:right w:w="75" w:type="dxa"/>
            </w:tcMar>
            <w:vAlign w:val="center"/>
          </w:tcPr>
          <w:p w14:paraId="496F2BF0" w14:textId="3093D2D1" w:rsidR="006E22FB" w:rsidRPr="00B51883" w:rsidRDefault="006E22FB" w:rsidP="004B28DC">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525E0C00" w14:textId="320B7863" w:rsidR="006E22FB" w:rsidRPr="00B51883" w:rsidRDefault="006E22FB" w:rsidP="000C0986">
            <w:pPr>
              <w:jc w:val="left"/>
            </w:pPr>
            <w:r w:rsidRPr="00B51883">
              <w:t>26. punkts atrodas sadaļā "VI. IKT pakalpojumu prasības", kas attiecas uz IKT infrastruktūras un drošības notikumu uzraudzību, nevis klienta sistēmu vai pakalpojumu monitoringu.</w:t>
            </w:r>
          </w:p>
          <w:p w14:paraId="7CFF3C34" w14:textId="77777777" w:rsidR="006E22FB" w:rsidRPr="00B51883" w:rsidRDefault="006E22FB" w:rsidP="000C0986">
            <w:pPr>
              <w:jc w:val="left"/>
            </w:pPr>
          </w:p>
          <w:p w14:paraId="66B59FC8" w14:textId="77777777" w:rsidR="006E22FB" w:rsidRPr="00B51883" w:rsidRDefault="006E22FB" w:rsidP="000C0986">
            <w:pPr>
              <w:jc w:val="left"/>
            </w:pPr>
            <w:r w:rsidRPr="00B51883">
              <w:t>1. pielikums nosaka datu centra drošības līmeņa prasības, un tā ietvaros 26. punkta formulējums var radīt nepareizu interpretāciju, it kā datu centra operatoram būtu pienākums monitorēt klientu sistēmas, kas nav šī pielikuma mērķis.</w:t>
            </w:r>
          </w:p>
          <w:p w14:paraId="60BFB676" w14:textId="77777777" w:rsidR="006E22FB" w:rsidRPr="00B51883" w:rsidRDefault="006E22FB" w:rsidP="000C0986">
            <w:pPr>
              <w:jc w:val="left"/>
            </w:pPr>
          </w:p>
          <w:p w14:paraId="48F568AF" w14:textId="3A0B2D5A" w:rsidR="006E22FB" w:rsidRPr="00B51883" w:rsidRDefault="006E22FB" w:rsidP="000C0986">
            <w:pPr>
              <w:jc w:val="left"/>
            </w:pPr>
            <w:r w:rsidRPr="00B51883">
              <w:t xml:space="preserve">Jaunajā redakcijā tiek precizēts, ka šis punkts attiecas uz datu centra </w:t>
            </w:r>
            <w:r w:rsidRPr="00B51883">
              <w:lastRenderedPageBreak/>
              <w:t>infrastruktūras uzraudzību, nevis uz klienta IKT sistēmām:</w:t>
            </w:r>
          </w:p>
        </w:tc>
      </w:tr>
      <w:tr w:rsidR="006E22FB" w:rsidRPr="00B51883" w14:paraId="3EF8E011" w14:textId="77777777">
        <w:tc>
          <w:tcPr>
            <w:tcW w:w="750" w:type="dxa"/>
            <w:vMerge/>
            <w:shd w:val="clear" w:color="auto" w:fill="FFFFFF"/>
            <w:noWrap/>
            <w:tcMar>
              <w:top w:w="75" w:type="dxa"/>
              <w:left w:w="75" w:type="dxa"/>
              <w:bottom w:w="75" w:type="dxa"/>
              <w:right w:w="75" w:type="dxa"/>
            </w:tcMar>
            <w:vAlign w:val="center"/>
          </w:tcPr>
          <w:p w14:paraId="2CD1DB94"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09E17FD4"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2AF1B14C" w14:textId="17E5F307" w:rsidR="006E22FB" w:rsidRPr="00B51883" w:rsidRDefault="006E22FB" w:rsidP="004B28DC">
            <w:pPr>
              <w:jc w:val="left"/>
            </w:pPr>
            <w:r w:rsidRPr="00B51883">
              <w:t>28. Iebilstam pret Noteikumu projekta 1.pielikuma 27.punktu.</w:t>
            </w:r>
            <w:r w:rsidRPr="00B51883">
              <w:br/>
            </w:r>
            <w:r w:rsidRPr="00B51883">
              <w:rPr>
                <w:b/>
              </w:rPr>
              <w:t>Pamatojums:</w:t>
            </w:r>
            <w:r w:rsidRPr="00B51883">
              <w:br/>
              <w:t>Noteikumu projekta 1.pielikuma 27.punkts nosaka  IKT pakalpojumu prasības “27. Incidentu žurnāls: Uzturēts detalizēts incidentu žurnāls, kas satur visu drošības incidentu aprakstus, novēršanas pasākumus, izmeklēšanas rezultātus, pieņemtos lēmumus, un veikta tā pārskatīšana vismaz reizi nedēļā”.</w:t>
            </w:r>
            <w:r w:rsidRPr="00B51883">
              <w:br/>
              <w:t>Nav skaidrs Noteikumu projekta 1.pielikuma 27.punktā ietvertais prasības tvērums – kam jāuztur incidentu žurnāls: operatoram vai subjektam.</w:t>
            </w:r>
            <w:r w:rsidRPr="00B51883">
              <w:br/>
            </w:r>
            <w:r w:rsidRPr="00B51883">
              <w:rPr>
                <w:b/>
              </w:rPr>
              <w:t>Priekšlikums:</w:t>
            </w:r>
            <w:r w:rsidRPr="00B51883">
              <w:br/>
              <w:t>Nepieciešams precizēt prasības tvērumu.</w:t>
            </w:r>
            <w:r w:rsidRPr="00B51883">
              <w:br/>
            </w:r>
          </w:p>
        </w:tc>
        <w:tc>
          <w:tcPr>
            <w:tcW w:w="1650" w:type="dxa"/>
            <w:shd w:val="clear" w:color="auto" w:fill="FFFFFF"/>
            <w:noWrap/>
            <w:tcMar>
              <w:top w:w="75" w:type="dxa"/>
              <w:left w:w="75" w:type="dxa"/>
              <w:bottom w:w="75" w:type="dxa"/>
              <w:right w:w="75" w:type="dxa"/>
            </w:tcMar>
            <w:vAlign w:val="center"/>
          </w:tcPr>
          <w:p w14:paraId="152B7CD0" w14:textId="06A2DCAA" w:rsidR="006E22FB" w:rsidRPr="00B51883" w:rsidRDefault="006E22FB" w:rsidP="004B28DC">
            <w:pPr>
              <w:jc w:val="left"/>
            </w:pPr>
            <w:r w:rsidRPr="00B51883">
              <w:t>ņemts vērā</w:t>
            </w:r>
          </w:p>
        </w:tc>
        <w:tc>
          <w:tcPr>
            <w:tcW w:w="4056" w:type="dxa"/>
            <w:shd w:val="clear" w:color="auto" w:fill="FFFFFF"/>
            <w:noWrap/>
            <w:tcMar>
              <w:top w:w="75" w:type="dxa"/>
              <w:left w:w="75" w:type="dxa"/>
              <w:bottom w:w="75" w:type="dxa"/>
              <w:right w:w="75" w:type="dxa"/>
            </w:tcMar>
            <w:vAlign w:val="center"/>
          </w:tcPr>
          <w:p w14:paraId="46F6321B" w14:textId="77777777" w:rsidR="006E22FB" w:rsidRPr="00B51883" w:rsidRDefault="006E22FB" w:rsidP="00303E99">
            <w:pPr>
              <w:jc w:val="left"/>
            </w:pPr>
            <w:r w:rsidRPr="00B51883">
              <w:t>Precizēts atbildīgais – datu centra operators, lai novērstu neskaidrību par prasības izpildītāju.</w:t>
            </w:r>
          </w:p>
          <w:p w14:paraId="406006FD" w14:textId="384ABE53" w:rsidR="006E22FB" w:rsidRPr="00B51883" w:rsidRDefault="006E22FB" w:rsidP="00303E99">
            <w:pPr>
              <w:jc w:val="left"/>
            </w:pPr>
            <w:r w:rsidRPr="00B51883">
              <w:t>Noteikts, ka žurnāls attiecas uz infrastruktūras drošību, nevis klientu sistēmām.</w:t>
            </w:r>
          </w:p>
        </w:tc>
      </w:tr>
      <w:tr w:rsidR="006E22FB" w:rsidRPr="00B51883" w14:paraId="13369676" w14:textId="77777777">
        <w:tc>
          <w:tcPr>
            <w:tcW w:w="750" w:type="dxa"/>
            <w:vMerge/>
            <w:shd w:val="clear" w:color="auto" w:fill="FFFFFF"/>
            <w:noWrap/>
            <w:tcMar>
              <w:top w:w="75" w:type="dxa"/>
              <w:left w:w="75" w:type="dxa"/>
              <w:bottom w:w="75" w:type="dxa"/>
              <w:right w:w="75" w:type="dxa"/>
            </w:tcMar>
            <w:vAlign w:val="center"/>
          </w:tcPr>
          <w:p w14:paraId="28CFBBE1" w14:textId="77777777" w:rsidR="006E22FB" w:rsidRPr="00B51883" w:rsidRDefault="006E22FB" w:rsidP="004B28DC">
            <w:pPr>
              <w:jc w:val="center"/>
            </w:pPr>
          </w:p>
        </w:tc>
        <w:tc>
          <w:tcPr>
            <w:tcW w:w="4055" w:type="dxa"/>
            <w:vMerge/>
            <w:shd w:val="clear" w:color="auto" w:fill="FFFFFF"/>
            <w:noWrap/>
            <w:tcMar>
              <w:top w:w="75" w:type="dxa"/>
              <w:left w:w="75" w:type="dxa"/>
              <w:bottom w:w="75" w:type="dxa"/>
              <w:right w:w="75" w:type="dxa"/>
            </w:tcMar>
            <w:vAlign w:val="center"/>
          </w:tcPr>
          <w:p w14:paraId="44677E54" w14:textId="77777777" w:rsidR="006E22FB" w:rsidRPr="00B51883" w:rsidRDefault="006E22FB" w:rsidP="004B28DC">
            <w:pPr>
              <w:jc w:val="left"/>
            </w:pPr>
          </w:p>
        </w:tc>
        <w:tc>
          <w:tcPr>
            <w:tcW w:w="4056" w:type="dxa"/>
            <w:shd w:val="clear" w:color="auto" w:fill="FFFFFF"/>
            <w:noWrap/>
            <w:tcMar>
              <w:top w:w="75" w:type="dxa"/>
              <w:left w:w="75" w:type="dxa"/>
              <w:bottom w:w="75" w:type="dxa"/>
              <w:right w:w="75" w:type="dxa"/>
            </w:tcMar>
            <w:vAlign w:val="center"/>
          </w:tcPr>
          <w:p w14:paraId="51664351" w14:textId="3036D6D4" w:rsidR="006E22FB" w:rsidRPr="00B51883" w:rsidRDefault="006E22FB" w:rsidP="004B28DC">
            <w:pPr>
              <w:jc w:val="left"/>
            </w:pPr>
            <w:r w:rsidRPr="00B51883">
              <w:t>29. Iebilstam pret Noteikumu projekta 1.pielikuma 30.punktu.</w:t>
            </w:r>
            <w:r w:rsidRPr="00B51883">
              <w:br/>
            </w:r>
            <w:r w:rsidRPr="00B51883">
              <w:rPr>
                <w:b/>
              </w:rPr>
              <w:t>Pamatojums:</w:t>
            </w:r>
            <w:r w:rsidRPr="00B51883">
              <w:br/>
              <w:t>Noteikumu projekta 1.pielikuma 30.punkts nosaka  kā veicama starptautiski atzīto sertifikātu pielīdzināšana šo noteikumu datu centru drošības līmeņiem “30. Datu centrs var nepiesaistīt Kvalificētu auditoru atbilstības audita veikšanai, ja Datu centram ir aktuāls kāds no šādiem starptautiski atzītajiem sertifikātiem, un tas tiek regulāri atjaunots un pārbaudīts:</w:t>
            </w:r>
            <w:r w:rsidRPr="00B51883">
              <w:br/>
              <w:t>30.1.</w:t>
            </w:r>
            <w:r w:rsidRPr="00B51883">
              <w:rPr>
                <w:i/>
              </w:rPr>
              <w:t>Uptime Institute Tier III</w:t>
            </w:r>
            <w:r w:rsidRPr="00B51883">
              <w:t xml:space="preserve"> vai </w:t>
            </w:r>
            <w:r w:rsidRPr="00B51883">
              <w:rPr>
                <w:i/>
              </w:rPr>
              <w:t>Tier IV</w:t>
            </w:r>
            <w:r w:rsidRPr="00B51883">
              <w:rPr>
                <w:b/>
              </w:rPr>
              <w:t xml:space="preserve">standarta </w:t>
            </w:r>
            <w:r w:rsidRPr="00B51883">
              <w:t>atbilstības sertifikāts uzticamībai un pieejamībai”.</w:t>
            </w:r>
            <w:r w:rsidRPr="00B51883">
              <w:br/>
            </w:r>
            <w:r w:rsidRPr="00B51883">
              <w:br/>
              <w:t>Noteikumu projekta 1.pielikuma 30.punktā nav skaidrs kāda veida sertifikācijas veida atbilstība tiek uzskatīta par atbilstošu:</w:t>
            </w:r>
            <w:r w:rsidRPr="00B51883">
              <w:br/>
              <w:t>- Projekta līmeņa jeb “Design” – tikai paša Būvprojekta sertifikācija;</w:t>
            </w:r>
            <w:r w:rsidRPr="00B51883">
              <w:br/>
              <w:t xml:space="preserve">- Vai izbūvētas datu centra </w:t>
            </w:r>
            <w:r w:rsidRPr="00B51883">
              <w:lastRenderedPageBreak/>
              <w:t>infrastruktūras jeb “Build” sertifikācija.</w:t>
            </w:r>
            <w:r w:rsidRPr="00B51883">
              <w:br/>
              <w:t>Daudzi klienti veic šādu sākotnējā projekta sertifikāciju, bet pēc datu centra izbūves var arī neveikt tā tālāko sertifikāciju.</w:t>
            </w:r>
            <w:r w:rsidRPr="00B51883">
              <w:br/>
            </w:r>
            <w:r w:rsidRPr="00B51883">
              <w:rPr>
                <w:b/>
              </w:rPr>
              <w:t>Priekšlikums:</w:t>
            </w:r>
            <w:r w:rsidRPr="00B51883">
              <w:br/>
              <w:t>Precizēt Noteikumu projekta 1.pielikuma 30.punktu, ka tikai ‘Build’, ‘Facility’, ‘Construction’ tipa sertifikāti tiek pieņemti par atbilstošiem, jo tikai šie sertifikāti, kuru iegūšana pieprasa arī fizisku infrastruktūras pārbaudi datu centra teritorijā, var garantēt to, ka datu centrs ir būvēts, atbilstoši izvirzītajām prasībām.</w:t>
            </w:r>
            <w:r w:rsidRPr="00B51883">
              <w:br/>
            </w:r>
          </w:p>
        </w:tc>
        <w:tc>
          <w:tcPr>
            <w:tcW w:w="1650" w:type="dxa"/>
            <w:shd w:val="clear" w:color="auto" w:fill="FFFFFF"/>
            <w:noWrap/>
            <w:tcMar>
              <w:top w:w="75" w:type="dxa"/>
              <w:left w:w="75" w:type="dxa"/>
              <w:bottom w:w="75" w:type="dxa"/>
              <w:right w:w="75" w:type="dxa"/>
            </w:tcMar>
            <w:vAlign w:val="center"/>
          </w:tcPr>
          <w:p w14:paraId="5B315C5B" w14:textId="19DC35B7" w:rsidR="006E22FB" w:rsidRPr="00B51883" w:rsidRDefault="006E22FB" w:rsidP="004B28DC">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0FB0F869" w14:textId="6CDC18FE" w:rsidR="006E22FB" w:rsidRPr="00B51883" w:rsidRDefault="006E22FB" w:rsidP="004B28DC">
            <w:pPr>
              <w:jc w:val="left"/>
            </w:pPr>
            <w:r w:rsidRPr="00B51883">
              <w:t>Precizēts, ka tiek pieņemti tikai sertifikāti, kas apliecina datu centra infrastruktūras fizisko atbilstību, nevis tikai sākotnējā projekta atbilstību.</w:t>
            </w:r>
          </w:p>
        </w:tc>
      </w:tr>
      <w:tr w:rsidR="006E22FB" w:rsidRPr="00B51883" w14:paraId="3D6540DF" w14:textId="77777777">
        <w:tc>
          <w:tcPr>
            <w:tcW w:w="750" w:type="dxa"/>
            <w:vMerge/>
            <w:shd w:val="clear" w:color="auto" w:fill="FFFFFF"/>
            <w:noWrap/>
            <w:tcMar>
              <w:top w:w="75" w:type="dxa"/>
              <w:left w:w="75" w:type="dxa"/>
              <w:bottom w:w="75" w:type="dxa"/>
              <w:right w:w="75" w:type="dxa"/>
            </w:tcMar>
            <w:vAlign w:val="center"/>
          </w:tcPr>
          <w:p w14:paraId="44C901F1" w14:textId="77777777" w:rsidR="006E22FB" w:rsidRPr="00B51883" w:rsidRDefault="006E22FB" w:rsidP="00B564E5">
            <w:pPr>
              <w:jc w:val="center"/>
            </w:pPr>
          </w:p>
        </w:tc>
        <w:tc>
          <w:tcPr>
            <w:tcW w:w="4055" w:type="dxa"/>
            <w:vMerge/>
            <w:shd w:val="clear" w:color="auto" w:fill="FFFFFF"/>
            <w:noWrap/>
            <w:tcMar>
              <w:top w:w="75" w:type="dxa"/>
              <w:left w:w="75" w:type="dxa"/>
              <w:bottom w:w="75" w:type="dxa"/>
              <w:right w:w="75" w:type="dxa"/>
            </w:tcMar>
            <w:vAlign w:val="center"/>
          </w:tcPr>
          <w:p w14:paraId="6E5C63F9" w14:textId="77777777" w:rsidR="006E22FB" w:rsidRPr="00B51883" w:rsidRDefault="006E22FB" w:rsidP="00B564E5">
            <w:pPr>
              <w:jc w:val="left"/>
            </w:pPr>
          </w:p>
        </w:tc>
        <w:tc>
          <w:tcPr>
            <w:tcW w:w="4056" w:type="dxa"/>
            <w:shd w:val="clear" w:color="auto" w:fill="FFFFFF"/>
            <w:noWrap/>
            <w:tcMar>
              <w:top w:w="75" w:type="dxa"/>
              <w:left w:w="75" w:type="dxa"/>
              <w:bottom w:w="75" w:type="dxa"/>
              <w:right w:w="75" w:type="dxa"/>
            </w:tcMar>
            <w:vAlign w:val="center"/>
          </w:tcPr>
          <w:p w14:paraId="69743719" w14:textId="70768286" w:rsidR="006E22FB" w:rsidRPr="00B51883" w:rsidRDefault="006E22FB" w:rsidP="00B564E5">
            <w:pPr>
              <w:jc w:val="left"/>
            </w:pPr>
            <w:r w:rsidRPr="00B51883">
              <w:t>30. Iebilstam pret Noteikumu projekta 1. pielikuma 30.punktu.</w:t>
            </w:r>
            <w:r w:rsidRPr="00B51883">
              <w:br/>
            </w:r>
            <w:r w:rsidRPr="00B51883">
              <w:rPr>
                <w:b/>
              </w:rPr>
              <w:t>Pamatojums:</w:t>
            </w:r>
            <w:r w:rsidRPr="00B51883">
              <w:br/>
              <w:t xml:space="preserve">1.pielikuma 30.punktā ir norādīti standarti un sertifikācijas, kurām datu centram ir jāatbilst, tomēr ņemot vērā, ka starptautiski tiek lietotas arī citas ekvivalentas sertifikācijas vai to kombinācijas, </w:t>
            </w:r>
            <w:r w:rsidRPr="00B51883">
              <w:lastRenderedPageBreak/>
              <w:t>šis saraksts nav pilnīgs, nenodrošinot vienādas iespējas visiem datu centru pakalpojumu piegādātājiem.</w:t>
            </w:r>
            <w:r w:rsidRPr="00B51883">
              <w:br/>
            </w:r>
            <w:r w:rsidRPr="00B51883">
              <w:rPr>
                <w:b/>
              </w:rPr>
              <w:t>Priekšlikums:</w:t>
            </w:r>
            <w:r w:rsidRPr="00B51883">
              <w:br/>
              <w:t>Papildināt 1.pielikuma 30.punktu ar citām ekvivalentām pasaulē atzītām sertifikācijām / to kombinācijām. No LIKTA puses apkoposim un iesniegsim informāciju Noteikumu projekta turpmākajā saskaņošanas procesā. Vienlaicīgi aicinām arī ministriju apzināt citas starptautiski atzītas ekvivalentas sertifikācijas un to kombinācijas, attiecīgi papildinot minēto punktu.</w:t>
            </w:r>
          </w:p>
        </w:tc>
        <w:tc>
          <w:tcPr>
            <w:tcW w:w="1650" w:type="dxa"/>
            <w:shd w:val="clear" w:color="auto" w:fill="FFFFFF"/>
            <w:noWrap/>
            <w:tcMar>
              <w:top w:w="75" w:type="dxa"/>
              <w:left w:w="75" w:type="dxa"/>
              <w:bottom w:w="75" w:type="dxa"/>
              <w:right w:w="75" w:type="dxa"/>
            </w:tcMar>
            <w:vAlign w:val="center"/>
          </w:tcPr>
          <w:p w14:paraId="2A72ACCD" w14:textId="5742F46B" w:rsidR="006E22FB" w:rsidRPr="00B51883" w:rsidRDefault="006E22FB" w:rsidP="00B564E5">
            <w:pPr>
              <w:jc w:val="left"/>
            </w:pPr>
            <w:r w:rsidRPr="00B51883">
              <w:lastRenderedPageBreak/>
              <w:t>ņemts vērā daļēji</w:t>
            </w:r>
          </w:p>
        </w:tc>
        <w:tc>
          <w:tcPr>
            <w:tcW w:w="4056" w:type="dxa"/>
            <w:shd w:val="clear" w:color="auto" w:fill="FFFFFF"/>
            <w:noWrap/>
            <w:tcMar>
              <w:top w:w="75" w:type="dxa"/>
              <w:left w:w="75" w:type="dxa"/>
              <w:bottom w:w="75" w:type="dxa"/>
              <w:right w:w="75" w:type="dxa"/>
            </w:tcMar>
            <w:vAlign w:val="center"/>
          </w:tcPr>
          <w:p w14:paraId="7E4239B9" w14:textId="6F3F945B" w:rsidR="006E22FB" w:rsidRPr="00B51883" w:rsidRDefault="006E22FB" w:rsidP="00B564E5">
            <w:pPr>
              <w:jc w:val="left"/>
            </w:pPr>
            <w:r w:rsidRPr="00B51883">
              <w:t>Lai gan saraksts ar starptautiski atzītām sertifikācijām un to minimālajām prasībām ir precizēts un paplašināts, tomēr vēl nav apkopoti visi iespējamie ekvivalentie sertifikāti vai to kombinācijas, kas būtu pielīdzināmas šo noteikumu 1. pielikumā noteiktajām prasībām.</w:t>
            </w:r>
          </w:p>
          <w:p w14:paraId="4DAD5B9A" w14:textId="77777777" w:rsidR="006E22FB" w:rsidRPr="00B51883" w:rsidRDefault="006E22FB" w:rsidP="00B564E5">
            <w:pPr>
              <w:jc w:val="left"/>
            </w:pPr>
          </w:p>
          <w:p w14:paraId="0C5BEB79" w14:textId="2B8538E8" w:rsidR="006E22FB" w:rsidRPr="00B51883" w:rsidRDefault="006E22FB" w:rsidP="006E0978">
            <w:pPr>
              <w:jc w:val="left"/>
            </w:pPr>
            <w:r w:rsidRPr="00B51883">
              <w:t>Jaunajā 1. pielikuma redakcijā pievienots papildu apakšpunkts “30.5. Citi starptautiski atzīti sertifikāti, kas publicēti Nacionālā kiberdrošības centra oficiālajā tīmekļa vietnē, kā pielīdzināmi šajā noteikumu pielikumā noteiktajām prasībām. “</w:t>
            </w:r>
          </w:p>
        </w:tc>
      </w:tr>
      <w:tr w:rsidR="006E22FB" w:rsidRPr="00B51883" w14:paraId="0E255DED" w14:textId="77777777">
        <w:tc>
          <w:tcPr>
            <w:tcW w:w="750" w:type="dxa"/>
            <w:vMerge/>
            <w:shd w:val="clear" w:color="auto" w:fill="FFFFFF"/>
            <w:noWrap/>
            <w:tcMar>
              <w:top w:w="75" w:type="dxa"/>
              <w:left w:w="75" w:type="dxa"/>
              <w:bottom w:w="75" w:type="dxa"/>
              <w:right w:w="75" w:type="dxa"/>
            </w:tcMar>
            <w:vAlign w:val="center"/>
          </w:tcPr>
          <w:p w14:paraId="7A84AEFE" w14:textId="77777777" w:rsidR="006E22FB" w:rsidRPr="00B51883" w:rsidRDefault="006E22FB" w:rsidP="00B564E5">
            <w:pPr>
              <w:jc w:val="center"/>
            </w:pPr>
          </w:p>
        </w:tc>
        <w:tc>
          <w:tcPr>
            <w:tcW w:w="4055" w:type="dxa"/>
            <w:vMerge/>
            <w:shd w:val="clear" w:color="auto" w:fill="FFFFFF"/>
            <w:noWrap/>
            <w:tcMar>
              <w:top w:w="75" w:type="dxa"/>
              <w:left w:w="75" w:type="dxa"/>
              <w:bottom w:w="75" w:type="dxa"/>
              <w:right w:w="75" w:type="dxa"/>
            </w:tcMar>
            <w:vAlign w:val="center"/>
          </w:tcPr>
          <w:p w14:paraId="4F3A31A5" w14:textId="77777777" w:rsidR="006E22FB" w:rsidRPr="00B51883" w:rsidRDefault="006E22FB" w:rsidP="00B564E5">
            <w:pPr>
              <w:jc w:val="left"/>
            </w:pPr>
          </w:p>
        </w:tc>
        <w:tc>
          <w:tcPr>
            <w:tcW w:w="4056" w:type="dxa"/>
            <w:shd w:val="clear" w:color="auto" w:fill="FFFFFF"/>
            <w:noWrap/>
            <w:tcMar>
              <w:top w:w="75" w:type="dxa"/>
              <w:left w:w="75" w:type="dxa"/>
              <w:bottom w:w="75" w:type="dxa"/>
              <w:right w:w="75" w:type="dxa"/>
            </w:tcMar>
            <w:vAlign w:val="center"/>
          </w:tcPr>
          <w:p w14:paraId="068F6C06" w14:textId="0D11FC65" w:rsidR="006E22FB" w:rsidRPr="00B51883" w:rsidRDefault="006E22FB" w:rsidP="00B564E5">
            <w:pPr>
              <w:jc w:val="left"/>
            </w:pPr>
            <w:r w:rsidRPr="00B51883">
              <w:t>31. Iebilstam pret Noteikumu projekta 1.pielikuma 30.2.apakšpunktu.</w:t>
            </w:r>
            <w:r w:rsidRPr="00B51883">
              <w:br/>
            </w:r>
            <w:r w:rsidRPr="00B51883">
              <w:rPr>
                <w:b/>
              </w:rPr>
              <w:t>Pamatojums:</w:t>
            </w:r>
            <w:r w:rsidRPr="00B51883">
              <w:br/>
              <w:t xml:space="preserve">Noteikumu projekta 1.pielikuma 30.2.apakšpunkts nosaka kā veicama starptautiski atzīto sertifikātu pielīdzināšana šo noteikumu datu centru drošības līmeņiem. “30.2. TIA-942 </w:t>
            </w:r>
            <w:r w:rsidRPr="00B51883">
              <w:lastRenderedPageBreak/>
              <w:t>Sertifikāts ar īpaši augstas rezervēšanas un drošības prasībām”.</w:t>
            </w:r>
            <w:r w:rsidRPr="00B51883">
              <w:br/>
              <w:t> Noteikumu projekta 1.pielikuma 30.2.apakšpunktā nekorekti tiek lietots termins “īpaši augstas … prasības”, jo standartam ir 4 reitinga klases (“</w:t>
            </w:r>
            <w:r w:rsidRPr="00B51883">
              <w:rPr>
                <w:i/>
              </w:rPr>
              <w:t>Rating</w:t>
            </w:r>
            <w:r w:rsidRPr="00B51883">
              <w:t>”, no 1 līdz 4).</w:t>
            </w:r>
            <w:r w:rsidRPr="00B51883">
              <w:br/>
              <w:t xml:space="preserve">Ja šī Noteikumu projekta ietvaros kā minimālās pieejamības prasība ir noteikta, balstoties uz </w:t>
            </w:r>
            <w:r w:rsidRPr="00B51883">
              <w:rPr>
                <w:i/>
              </w:rPr>
              <w:t>Uptime Institute Tier III</w:t>
            </w:r>
            <w:r w:rsidRPr="00B51883">
              <w:t xml:space="preserve"> klasi, tad, visticamāk, arī standarta ANSI/TIA-942-B/C atbilstība ir pierādāma ar 3. līmeni “Rated-3” (bet ne augstāko – 4. līmeni (“Rated-4”), jo tas paredz visas infrastruktūras rezervēšanu 2N līmenī).</w:t>
            </w:r>
            <w:r w:rsidRPr="00B51883">
              <w:br/>
            </w:r>
            <w:r w:rsidRPr="00B51883">
              <w:rPr>
                <w:b/>
              </w:rPr>
              <w:t>Priekšlikums:</w:t>
            </w:r>
            <w:r w:rsidRPr="00B51883">
              <w:br/>
              <w:t>Precizēt Noteikumu projekta 1.pielikuma 30.2.apakšpunktu.</w:t>
            </w:r>
          </w:p>
        </w:tc>
        <w:tc>
          <w:tcPr>
            <w:tcW w:w="1650" w:type="dxa"/>
            <w:shd w:val="clear" w:color="auto" w:fill="FFFFFF"/>
            <w:noWrap/>
            <w:tcMar>
              <w:top w:w="75" w:type="dxa"/>
              <w:left w:w="75" w:type="dxa"/>
              <w:bottom w:w="75" w:type="dxa"/>
              <w:right w:w="75" w:type="dxa"/>
            </w:tcMar>
            <w:vAlign w:val="center"/>
          </w:tcPr>
          <w:p w14:paraId="472FD6EE" w14:textId="1DC11BB9" w:rsidR="006E22FB" w:rsidRPr="00B51883" w:rsidRDefault="006E22FB" w:rsidP="00B564E5">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5B732D33" w14:textId="436717A9" w:rsidR="006E22FB" w:rsidRPr="00B51883" w:rsidRDefault="006E22FB" w:rsidP="00EC24E6">
            <w:pPr>
              <w:jc w:val="left"/>
            </w:pPr>
            <w:r w:rsidRPr="00B51883">
              <w:t>Noteikumu projekta 1.pielikuma 30.2.apakšpunkts precizēts, ka tiek pieņemti tikai “Rated-3” un “Rated-4” līmeņa sertifikāti.</w:t>
            </w:r>
          </w:p>
          <w:p w14:paraId="11553D82" w14:textId="426D4FDD" w:rsidR="006E22FB" w:rsidRPr="00B51883" w:rsidRDefault="006E22FB" w:rsidP="00EC24E6">
            <w:pPr>
              <w:jc w:val="left"/>
            </w:pPr>
            <w:r w:rsidRPr="00B51883">
              <w:t>Dzēsts nekorektais formulējums “īpaši augstas rezervēšanas un drošības prasības”.</w:t>
            </w:r>
          </w:p>
        </w:tc>
      </w:tr>
      <w:tr w:rsidR="006E22FB" w:rsidRPr="00B51883" w14:paraId="49E5B9B4" w14:textId="77777777">
        <w:tc>
          <w:tcPr>
            <w:tcW w:w="750" w:type="dxa"/>
            <w:vMerge/>
            <w:shd w:val="clear" w:color="auto" w:fill="FFFFFF"/>
            <w:noWrap/>
            <w:tcMar>
              <w:top w:w="75" w:type="dxa"/>
              <w:left w:w="75" w:type="dxa"/>
              <w:bottom w:w="75" w:type="dxa"/>
              <w:right w:w="75" w:type="dxa"/>
            </w:tcMar>
            <w:vAlign w:val="center"/>
          </w:tcPr>
          <w:p w14:paraId="4CF925A5" w14:textId="77777777" w:rsidR="006E22FB" w:rsidRPr="00B51883" w:rsidRDefault="006E22FB" w:rsidP="00B564E5">
            <w:pPr>
              <w:jc w:val="center"/>
            </w:pPr>
          </w:p>
        </w:tc>
        <w:tc>
          <w:tcPr>
            <w:tcW w:w="4055" w:type="dxa"/>
            <w:vMerge/>
            <w:shd w:val="clear" w:color="auto" w:fill="FFFFFF"/>
            <w:noWrap/>
            <w:tcMar>
              <w:top w:w="75" w:type="dxa"/>
              <w:left w:w="75" w:type="dxa"/>
              <w:bottom w:w="75" w:type="dxa"/>
              <w:right w:w="75" w:type="dxa"/>
            </w:tcMar>
            <w:vAlign w:val="center"/>
          </w:tcPr>
          <w:p w14:paraId="0D25FBCB" w14:textId="77777777" w:rsidR="006E22FB" w:rsidRPr="00B51883" w:rsidRDefault="006E22FB" w:rsidP="00B564E5">
            <w:pPr>
              <w:jc w:val="left"/>
            </w:pPr>
          </w:p>
        </w:tc>
        <w:tc>
          <w:tcPr>
            <w:tcW w:w="4056" w:type="dxa"/>
            <w:shd w:val="clear" w:color="auto" w:fill="FFFFFF"/>
            <w:noWrap/>
            <w:tcMar>
              <w:top w:w="75" w:type="dxa"/>
              <w:left w:w="75" w:type="dxa"/>
              <w:bottom w:w="75" w:type="dxa"/>
              <w:right w:w="75" w:type="dxa"/>
            </w:tcMar>
            <w:vAlign w:val="center"/>
          </w:tcPr>
          <w:p w14:paraId="05394DDA" w14:textId="22F7D791" w:rsidR="006E22FB" w:rsidRPr="00B51883" w:rsidRDefault="006E22FB" w:rsidP="00B564E5">
            <w:pPr>
              <w:jc w:val="left"/>
            </w:pPr>
            <w:r w:rsidRPr="00B51883">
              <w:t>32. Iebilstam pret Noteikumu projekta 1.pielikuma 30.3.apakšpunktu.</w:t>
            </w:r>
            <w:r w:rsidRPr="00B51883">
              <w:br/>
            </w:r>
            <w:r w:rsidRPr="00B51883">
              <w:rPr>
                <w:b/>
              </w:rPr>
              <w:t>Pamatojums:</w:t>
            </w:r>
            <w:r w:rsidRPr="00B51883">
              <w:br/>
            </w:r>
            <w:r w:rsidRPr="00B51883">
              <w:lastRenderedPageBreak/>
              <w:t xml:space="preserve">Noteikumu projekta 1.pielikuma 30.3.apakšpunkts nosaka kā veicama starptautiski atzīto sertifikātu pielīdzināšana šo noteikumu datu centru drošības līmeņiem. “30.3. EN 50600-1, EN 50600-2-1, EN 50600-2-2, EN 50600-2-3, EN 50600-2-5, EN 50600-3-1 - datu centru infrastruktūras un </w:t>
            </w:r>
            <w:r w:rsidRPr="00B51883">
              <w:rPr>
                <w:b/>
              </w:rPr>
              <w:t xml:space="preserve">paaugstinātas drošības </w:t>
            </w:r>
            <w:r w:rsidRPr="00B51883">
              <w:t>pārvaldības prasībām”.</w:t>
            </w:r>
            <w:r w:rsidRPr="00B51883">
              <w:br/>
              <w:t xml:space="preserve">Dokumentā nekorekti tiek lietots termins “datu centru infrastruktūras un </w:t>
            </w:r>
            <w:r w:rsidRPr="00B51883">
              <w:rPr>
                <w:b/>
              </w:rPr>
              <w:t>paaugstinātas drošības</w:t>
            </w:r>
            <w:r w:rsidRPr="00B51883">
              <w:t xml:space="preserve"> pārvaldības prasībām”, jo standartā ir norādītas 4 pieejamības klases (“</w:t>
            </w:r>
            <w:r w:rsidRPr="00B51883">
              <w:rPr>
                <w:i/>
              </w:rPr>
              <w:t>Availability Class</w:t>
            </w:r>
            <w:r w:rsidRPr="00B51883">
              <w:t>”, no 1 līdz 4), un 4 drošības klases (“</w:t>
            </w:r>
            <w:r w:rsidRPr="00B51883">
              <w:rPr>
                <w:i/>
              </w:rPr>
              <w:t>Protection Class</w:t>
            </w:r>
            <w:r w:rsidRPr="00B51883">
              <w:t>”, no  1 līdz 4).</w:t>
            </w:r>
            <w:r w:rsidRPr="00B51883">
              <w:br/>
              <w:t>Rekomendējam Noteikumu projektā norādīt konkrēto standarta EN50600 atbilstības drošības klasi.</w:t>
            </w:r>
            <w:r w:rsidRPr="00B51883">
              <w:br/>
              <w:t xml:space="preserve">Nepieciešams papildināt Noteikumu projekta 1.pielikuma 30.3.apakšpunktu ar telekomunikāciju kabeļu </w:t>
            </w:r>
            <w:r w:rsidRPr="00B51883">
              <w:lastRenderedPageBreak/>
              <w:t>infrastruktūras standartu EN 50600-2-4</w:t>
            </w:r>
            <w:r w:rsidRPr="00B51883">
              <w:br/>
            </w:r>
            <w:r w:rsidRPr="00B51883">
              <w:rPr>
                <w:b/>
              </w:rPr>
              <w:t>Priekšlikums:</w:t>
            </w:r>
            <w:r w:rsidRPr="00B51883">
              <w:br/>
              <w:t>Precizēt un papildināt Noteikumu projekta 1.pielikuma 30.3.apakšpunktu.</w:t>
            </w:r>
          </w:p>
        </w:tc>
        <w:tc>
          <w:tcPr>
            <w:tcW w:w="1650" w:type="dxa"/>
            <w:shd w:val="clear" w:color="auto" w:fill="FFFFFF"/>
            <w:noWrap/>
            <w:tcMar>
              <w:top w:w="75" w:type="dxa"/>
              <w:left w:w="75" w:type="dxa"/>
              <w:bottom w:w="75" w:type="dxa"/>
              <w:right w:w="75" w:type="dxa"/>
            </w:tcMar>
            <w:vAlign w:val="center"/>
          </w:tcPr>
          <w:p w14:paraId="026C5308" w14:textId="732300F7" w:rsidR="006E22FB" w:rsidRPr="00B51883" w:rsidRDefault="006E22FB" w:rsidP="00B564E5">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0C6760D3" w14:textId="20E903DC" w:rsidR="006E22FB" w:rsidRPr="00B51883" w:rsidRDefault="006E22FB" w:rsidP="00A96E26">
            <w:pPr>
              <w:jc w:val="left"/>
            </w:pPr>
            <w:r w:rsidRPr="00B51883">
              <w:t xml:space="preserve">Precizēta terminoloģija, izvairoties no vispārīgā jēdziena "paaugstinātas drošības pārvaldības prasības", aizstājot to </w:t>
            </w:r>
            <w:r w:rsidRPr="00B51883">
              <w:lastRenderedPageBreak/>
              <w:t>ar konkrētām pieejamības (Availability Class) un drošības (Protection Class) prasībām.</w:t>
            </w:r>
          </w:p>
          <w:p w14:paraId="10B9FB2D" w14:textId="7C9E277E" w:rsidR="006E22FB" w:rsidRPr="00B51883" w:rsidRDefault="006E22FB" w:rsidP="00A96E26">
            <w:pPr>
              <w:jc w:val="left"/>
            </w:pPr>
            <w:r w:rsidRPr="00B51883">
              <w:t>Pievienots telekomunikāciju kabeļu infrastruktūras standarts EN 50600-2-4, kas iepriekš nebija iekļauts.</w:t>
            </w:r>
          </w:p>
        </w:tc>
      </w:tr>
      <w:tr w:rsidR="006E22FB" w:rsidRPr="00B51883" w14:paraId="16297DDD" w14:textId="77777777">
        <w:tc>
          <w:tcPr>
            <w:tcW w:w="750" w:type="dxa"/>
            <w:vMerge/>
            <w:shd w:val="clear" w:color="auto" w:fill="FFFFFF"/>
            <w:noWrap/>
            <w:tcMar>
              <w:top w:w="75" w:type="dxa"/>
              <w:left w:w="75" w:type="dxa"/>
              <w:bottom w:w="75" w:type="dxa"/>
              <w:right w:w="75" w:type="dxa"/>
            </w:tcMar>
            <w:vAlign w:val="center"/>
          </w:tcPr>
          <w:p w14:paraId="4C3B12E4" w14:textId="77777777" w:rsidR="006E22FB" w:rsidRPr="00B51883" w:rsidRDefault="006E22FB" w:rsidP="00B564E5">
            <w:pPr>
              <w:jc w:val="center"/>
            </w:pPr>
          </w:p>
        </w:tc>
        <w:tc>
          <w:tcPr>
            <w:tcW w:w="4055" w:type="dxa"/>
            <w:vMerge/>
            <w:shd w:val="clear" w:color="auto" w:fill="FFFFFF"/>
            <w:noWrap/>
            <w:tcMar>
              <w:top w:w="75" w:type="dxa"/>
              <w:left w:w="75" w:type="dxa"/>
              <w:bottom w:w="75" w:type="dxa"/>
              <w:right w:w="75" w:type="dxa"/>
            </w:tcMar>
            <w:vAlign w:val="center"/>
          </w:tcPr>
          <w:p w14:paraId="1150A0A7" w14:textId="77777777" w:rsidR="006E22FB" w:rsidRPr="00B51883" w:rsidRDefault="006E22FB" w:rsidP="00B564E5">
            <w:pPr>
              <w:jc w:val="left"/>
            </w:pPr>
          </w:p>
        </w:tc>
        <w:tc>
          <w:tcPr>
            <w:tcW w:w="4056" w:type="dxa"/>
            <w:shd w:val="clear" w:color="auto" w:fill="FFFFFF"/>
            <w:noWrap/>
            <w:tcMar>
              <w:top w:w="75" w:type="dxa"/>
              <w:left w:w="75" w:type="dxa"/>
              <w:bottom w:w="75" w:type="dxa"/>
              <w:right w:w="75" w:type="dxa"/>
            </w:tcMar>
            <w:vAlign w:val="center"/>
          </w:tcPr>
          <w:p w14:paraId="5D2FE8C1" w14:textId="6D1E2D9A" w:rsidR="006E22FB" w:rsidRPr="00B51883" w:rsidRDefault="006E22FB" w:rsidP="00B564E5">
            <w:pPr>
              <w:jc w:val="left"/>
            </w:pPr>
            <w:r w:rsidRPr="00B51883">
              <w:t>33. Iebilstam pret Noteikumu projekta 1.pielikuma 30.4.apakšpunktu.</w:t>
            </w:r>
            <w:r w:rsidRPr="00B51883">
              <w:br/>
            </w:r>
            <w:r w:rsidRPr="00B51883">
              <w:rPr>
                <w:b/>
              </w:rPr>
              <w:t>Pamatojums:</w:t>
            </w:r>
            <w:r w:rsidRPr="00B51883">
              <w:br/>
              <w:t>Noteikumu projekta 1.pielikuma 30.4.apakšpunkts nosaka kā veicama starptautiski atzīto sertifikātu pielīdzināšana šo noteikumu datu centru drošības līmeņiem. “30.4. ISO/IEC TS 22237 (paaugstinātas drošības līmenis) atbilstības sertifikāts ar paaugstinātas drošības prasībām”.</w:t>
            </w:r>
            <w:r w:rsidRPr="00B51883">
              <w:br/>
              <w:t>Dokumentā nekorekti tiek lietots termins “</w:t>
            </w:r>
            <w:r w:rsidRPr="00B51883">
              <w:rPr>
                <w:b/>
              </w:rPr>
              <w:t>paaugstinātām drošības</w:t>
            </w:r>
            <w:r w:rsidRPr="00B51883">
              <w:t xml:space="preserve"> prasībām”, jo šajā standartā ir noteiktas 4 pieejamības klases (“</w:t>
            </w:r>
            <w:r w:rsidRPr="00B51883">
              <w:rPr>
                <w:i/>
              </w:rPr>
              <w:t>Availability Class</w:t>
            </w:r>
            <w:r w:rsidRPr="00B51883">
              <w:t>”, no 1 līdz 4), un 4 drošības klases (“</w:t>
            </w:r>
            <w:r w:rsidRPr="00B51883">
              <w:rPr>
                <w:i/>
              </w:rPr>
              <w:t>Protection Class</w:t>
            </w:r>
            <w:r w:rsidRPr="00B51883">
              <w:t>”, no 1 līdz 4).</w:t>
            </w:r>
            <w:r w:rsidRPr="00B51883">
              <w:br/>
              <w:t xml:space="preserve">Rekomendējam dokumentā </w:t>
            </w:r>
            <w:r w:rsidRPr="00B51883">
              <w:lastRenderedPageBreak/>
              <w:t>norādīt konkrēto standarta ISO 22237 atbilstības drošības klasi.</w:t>
            </w:r>
            <w:r w:rsidRPr="00B51883">
              <w:br/>
            </w:r>
            <w:r w:rsidRPr="00B51883">
              <w:rPr>
                <w:b/>
              </w:rPr>
              <w:t>Priekšlikums:</w:t>
            </w:r>
            <w:r w:rsidRPr="00B51883">
              <w:br/>
              <w:t>Precizēt Noteikumu projekta 1.pielikuma 30.4.apakšpunktu.</w:t>
            </w:r>
          </w:p>
        </w:tc>
        <w:tc>
          <w:tcPr>
            <w:tcW w:w="1650" w:type="dxa"/>
            <w:shd w:val="clear" w:color="auto" w:fill="FFFFFF"/>
            <w:noWrap/>
            <w:tcMar>
              <w:top w:w="75" w:type="dxa"/>
              <w:left w:w="75" w:type="dxa"/>
              <w:bottom w:w="75" w:type="dxa"/>
              <w:right w:w="75" w:type="dxa"/>
            </w:tcMar>
            <w:vAlign w:val="center"/>
          </w:tcPr>
          <w:p w14:paraId="120115E6" w14:textId="5472CAEB" w:rsidR="006E22FB" w:rsidRPr="00B51883" w:rsidRDefault="006E22FB" w:rsidP="00B564E5">
            <w:pPr>
              <w:jc w:val="left"/>
            </w:pPr>
            <w:r w:rsidRPr="00B51883">
              <w:lastRenderedPageBreak/>
              <w:t>ņemts vērā</w:t>
            </w:r>
          </w:p>
        </w:tc>
        <w:tc>
          <w:tcPr>
            <w:tcW w:w="4056" w:type="dxa"/>
            <w:shd w:val="clear" w:color="auto" w:fill="FFFFFF"/>
            <w:noWrap/>
            <w:tcMar>
              <w:top w:w="75" w:type="dxa"/>
              <w:left w:w="75" w:type="dxa"/>
              <w:bottom w:w="75" w:type="dxa"/>
              <w:right w:w="75" w:type="dxa"/>
            </w:tcMar>
            <w:vAlign w:val="center"/>
          </w:tcPr>
          <w:p w14:paraId="5783B6D2" w14:textId="25FDFDC7" w:rsidR="006E22FB" w:rsidRPr="00B51883" w:rsidRDefault="006E22FB" w:rsidP="00D17342">
            <w:pPr>
              <w:jc w:val="left"/>
            </w:pPr>
            <w:r w:rsidRPr="00B51883">
              <w:t>1.pielikuma 30.4.apakšpunkts precizēts ar konkrētiem pieejamības (“Availability Class”) un drošības (“Protection Class”) kritērijiem. Norādītas minimālās prasības atbilstoši ISO/IEC TS 22237 standartam.</w:t>
            </w:r>
          </w:p>
          <w:p w14:paraId="4EB1CD9A" w14:textId="4398691E" w:rsidR="006E22FB" w:rsidRPr="00B51883" w:rsidRDefault="006E22FB" w:rsidP="00D17342">
            <w:pPr>
              <w:jc w:val="left"/>
            </w:pPr>
          </w:p>
        </w:tc>
      </w:tr>
    </w:tbl>
    <w:p w14:paraId="7002B4B9" w14:textId="77777777" w:rsidR="009915E9" w:rsidRPr="00B51883" w:rsidRDefault="009915E9"/>
    <w:tbl>
      <w:tblPr>
        <w:tblStyle w:val="a"/>
        <w:tblW w:w="14567" w:type="dxa"/>
        <w:tblLayout w:type="fixed"/>
        <w:tblLook w:val="0600" w:firstRow="0" w:lastRow="0" w:firstColumn="0" w:lastColumn="0" w:noHBand="1" w:noVBand="1"/>
      </w:tblPr>
      <w:tblGrid>
        <w:gridCol w:w="4855"/>
        <w:gridCol w:w="4856"/>
        <w:gridCol w:w="4856"/>
      </w:tblGrid>
      <w:tr w:rsidR="009915E9" w:rsidRPr="00B51883" w14:paraId="12ADA87B" w14:textId="77777777">
        <w:tc>
          <w:tcPr>
            <w:tcW w:w="4855" w:type="dxa"/>
            <w:shd w:val="clear" w:color="auto" w:fill="FFFFFF"/>
            <w:noWrap/>
            <w:tcMar>
              <w:top w:w="75" w:type="dxa"/>
              <w:left w:w="75" w:type="dxa"/>
              <w:bottom w:w="75" w:type="dxa"/>
              <w:right w:w="75" w:type="dxa"/>
            </w:tcMar>
            <w:vAlign w:val="center"/>
          </w:tcPr>
          <w:p w14:paraId="32DC1E16" w14:textId="77777777" w:rsidR="009915E9" w:rsidRPr="00B51883" w:rsidRDefault="00FC7BA9">
            <w:pPr>
              <w:jc w:val="left"/>
            </w:pPr>
            <w:r w:rsidRPr="00B51883">
              <w:t>Datums**</w:t>
            </w:r>
          </w:p>
        </w:tc>
        <w:tc>
          <w:tcPr>
            <w:tcW w:w="4856" w:type="dxa"/>
            <w:shd w:val="clear" w:color="auto" w:fill="FFFFFF"/>
            <w:noWrap/>
            <w:tcMar>
              <w:top w:w="75" w:type="dxa"/>
              <w:left w:w="75" w:type="dxa"/>
              <w:bottom w:w="75" w:type="dxa"/>
              <w:right w:w="75" w:type="dxa"/>
            </w:tcMar>
            <w:vAlign w:val="center"/>
          </w:tcPr>
          <w:p w14:paraId="417AF5A7" w14:textId="59875854" w:rsidR="009915E9" w:rsidRPr="00B51883" w:rsidRDefault="00165002">
            <w:pPr>
              <w:pBdr>
                <w:bottom w:val="single" w:sz="10" w:space="1" w:color="000000"/>
              </w:pBdr>
            </w:pPr>
            <w:r>
              <w:t>10</w:t>
            </w:r>
            <w:r w:rsidR="00D17342" w:rsidRPr="00B51883">
              <w:t>.</w:t>
            </w:r>
            <w:r>
              <w:t>03</w:t>
            </w:r>
            <w:r w:rsidR="00D17342" w:rsidRPr="00B51883">
              <w:t>.2025</w:t>
            </w:r>
          </w:p>
        </w:tc>
        <w:tc>
          <w:tcPr>
            <w:tcW w:w="4856" w:type="dxa"/>
            <w:shd w:val="clear" w:color="auto" w:fill="FFFFFF"/>
            <w:noWrap/>
            <w:tcMar>
              <w:top w:w="75" w:type="dxa"/>
              <w:left w:w="75" w:type="dxa"/>
              <w:bottom w:w="75" w:type="dxa"/>
              <w:right w:w="75" w:type="dxa"/>
            </w:tcMar>
            <w:vAlign w:val="center"/>
          </w:tcPr>
          <w:p w14:paraId="252EE255" w14:textId="77777777" w:rsidR="009915E9" w:rsidRPr="00B51883" w:rsidRDefault="009915E9"/>
        </w:tc>
      </w:tr>
      <w:tr w:rsidR="009915E9" w:rsidRPr="00B51883" w14:paraId="1C1F1254" w14:textId="77777777">
        <w:tc>
          <w:tcPr>
            <w:tcW w:w="4855" w:type="dxa"/>
            <w:shd w:val="clear" w:color="auto" w:fill="FFFFFF"/>
            <w:noWrap/>
            <w:tcMar>
              <w:top w:w="75" w:type="dxa"/>
              <w:left w:w="75" w:type="dxa"/>
              <w:bottom w:w="75" w:type="dxa"/>
              <w:right w:w="75" w:type="dxa"/>
            </w:tcMar>
            <w:vAlign w:val="center"/>
          </w:tcPr>
          <w:p w14:paraId="2B2522BE" w14:textId="77777777" w:rsidR="009915E9" w:rsidRPr="00B51883" w:rsidRDefault="009915E9"/>
        </w:tc>
        <w:tc>
          <w:tcPr>
            <w:tcW w:w="4856" w:type="dxa"/>
            <w:shd w:val="clear" w:color="auto" w:fill="FFFFFF"/>
            <w:noWrap/>
            <w:tcMar>
              <w:top w:w="75" w:type="dxa"/>
              <w:left w:w="75" w:type="dxa"/>
              <w:bottom w:w="75" w:type="dxa"/>
              <w:right w:w="75" w:type="dxa"/>
            </w:tcMar>
            <w:vAlign w:val="center"/>
          </w:tcPr>
          <w:p w14:paraId="4AB2A55F" w14:textId="77777777" w:rsidR="009915E9" w:rsidRPr="00B51883" w:rsidRDefault="00FC7BA9">
            <w:pPr>
              <w:jc w:val="center"/>
            </w:pPr>
            <w:r w:rsidRPr="00B51883">
              <w:t>(dd.mm.gggg)</w:t>
            </w:r>
          </w:p>
        </w:tc>
        <w:tc>
          <w:tcPr>
            <w:tcW w:w="4856" w:type="dxa"/>
            <w:shd w:val="clear" w:color="auto" w:fill="FFFFFF"/>
            <w:noWrap/>
            <w:tcMar>
              <w:top w:w="75" w:type="dxa"/>
              <w:left w:w="75" w:type="dxa"/>
              <w:bottom w:w="75" w:type="dxa"/>
              <w:right w:w="75" w:type="dxa"/>
            </w:tcMar>
            <w:vAlign w:val="center"/>
          </w:tcPr>
          <w:p w14:paraId="427EF8E4" w14:textId="77777777" w:rsidR="009915E9" w:rsidRPr="00B51883" w:rsidRDefault="009915E9"/>
        </w:tc>
      </w:tr>
      <w:tr w:rsidR="009915E9" w:rsidRPr="00B51883" w14:paraId="7A724A40" w14:textId="77777777">
        <w:tc>
          <w:tcPr>
            <w:tcW w:w="4855" w:type="dxa"/>
            <w:shd w:val="clear" w:color="auto" w:fill="FFFFFF"/>
            <w:noWrap/>
            <w:tcMar>
              <w:top w:w="75" w:type="dxa"/>
              <w:left w:w="75" w:type="dxa"/>
              <w:bottom w:w="75" w:type="dxa"/>
              <w:right w:w="75" w:type="dxa"/>
            </w:tcMar>
            <w:vAlign w:val="center"/>
          </w:tcPr>
          <w:p w14:paraId="6F0EEFA3" w14:textId="77777777" w:rsidR="009915E9" w:rsidRPr="00B51883" w:rsidRDefault="00FC7BA9">
            <w:pPr>
              <w:jc w:val="left"/>
            </w:pPr>
            <w:r w:rsidRPr="00B51883">
              <w:t>Atbildīgā persona</w:t>
            </w:r>
          </w:p>
        </w:tc>
        <w:tc>
          <w:tcPr>
            <w:tcW w:w="4856" w:type="dxa"/>
            <w:shd w:val="clear" w:color="auto" w:fill="FFFFFF"/>
            <w:noWrap/>
            <w:tcMar>
              <w:top w:w="75" w:type="dxa"/>
              <w:left w:w="75" w:type="dxa"/>
              <w:bottom w:w="75" w:type="dxa"/>
              <w:right w:w="75" w:type="dxa"/>
            </w:tcMar>
            <w:vAlign w:val="center"/>
          </w:tcPr>
          <w:p w14:paraId="2B0C393A" w14:textId="74804FCE" w:rsidR="009915E9" w:rsidRPr="00B51883" w:rsidRDefault="00D17342">
            <w:pPr>
              <w:pBdr>
                <w:bottom w:val="single" w:sz="10" w:space="1" w:color="000000"/>
              </w:pBdr>
            </w:pPr>
            <w:r w:rsidRPr="00B51883">
              <w:t>Jānis Mārtužs</w:t>
            </w:r>
          </w:p>
        </w:tc>
        <w:tc>
          <w:tcPr>
            <w:tcW w:w="4856" w:type="dxa"/>
            <w:shd w:val="clear" w:color="auto" w:fill="FFFFFF"/>
            <w:noWrap/>
            <w:tcMar>
              <w:top w:w="75" w:type="dxa"/>
              <w:left w:w="75" w:type="dxa"/>
              <w:bottom w:w="75" w:type="dxa"/>
              <w:right w:w="75" w:type="dxa"/>
            </w:tcMar>
            <w:vAlign w:val="center"/>
          </w:tcPr>
          <w:p w14:paraId="0EFC2709" w14:textId="77777777" w:rsidR="009915E9" w:rsidRPr="00B51883" w:rsidRDefault="009915E9"/>
        </w:tc>
      </w:tr>
      <w:tr w:rsidR="009915E9" w:rsidRPr="00B51883" w14:paraId="1ED7E0AB" w14:textId="77777777">
        <w:tc>
          <w:tcPr>
            <w:tcW w:w="4855" w:type="dxa"/>
            <w:shd w:val="clear" w:color="auto" w:fill="FFFFFF"/>
            <w:noWrap/>
            <w:tcMar>
              <w:top w:w="75" w:type="dxa"/>
              <w:left w:w="75" w:type="dxa"/>
              <w:bottom w:w="75" w:type="dxa"/>
              <w:right w:w="75" w:type="dxa"/>
            </w:tcMar>
            <w:vAlign w:val="center"/>
          </w:tcPr>
          <w:p w14:paraId="0D976C1E" w14:textId="77777777" w:rsidR="009915E9" w:rsidRPr="00B51883" w:rsidRDefault="009915E9"/>
        </w:tc>
        <w:tc>
          <w:tcPr>
            <w:tcW w:w="4856" w:type="dxa"/>
            <w:shd w:val="clear" w:color="auto" w:fill="FFFFFF"/>
            <w:noWrap/>
            <w:tcMar>
              <w:top w:w="75" w:type="dxa"/>
              <w:left w:w="75" w:type="dxa"/>
              <w:bottom w:w="75" w:type="dxa"/>
              <w:right w:w="75" w:type="dxa"/>
            </w:tcMar>
            <w:vAlign w:val="center"/>
          </w:tcPr>
          <w:p w14:paraId="051B7FE9" w14:textId="77777777" w:rsidR="009915E9" w:rsidRPr="00B51883" w:rsidRDefault="00FC7BA9">
            <w:pPr>
              <w:jc w:val="center"/>
            </w:pPr>
            <w:r w:rsidRPr="00B51883">
              <w:t>(vārds, uzvārds, paraksts**)</w:t>
            </w:r>
          </w:p>
        </w:tc>
        <w:tc>
          <w:tcPr>
            <w:tcW w:w="4856" w:type="dxa"/>
            <w:shd w:val="clear" w:color="auto" w:fill="FFFFFF"/>
            <w:noWrap/>
            <w:tcMar>
              <w:top w:w="75" w:type="dxa"/>
              <w:left w:w="75" w:type="dxa"/>
              <w:bottom w:w="75" w:type="dxa"/>
              <w:right w:w="75" w:type="dxa"/>
            </w:tcMar>
            <w:vAlign w:val="center"/>
          </w:tcPr>
          <w:p w14:paraId="0B06CC4A" w14:textId="77777777" w:rsidR="009915E9" w:rsidRPr="00B51883" w:rsidRDefault="009915E9"/>
        </w:tc>
      </w:tr>
    </w:tbl>
    <w:p w14:paraId="5AD2B2EC" w14:textId="77777777" w:rsidR="009915E9" w:rsidRPr="00B51883" w:rsidRDefault="009915E9"/>
    <w:p w14:paraId="6026E76B" w14:textId="77777777" w:rsidR="009915E9" w:rsidRPr="00B51883" w:rsidRDefault="00FC7BA9">
      <w:r w:rsidRPr="00B51883">
        <w:t>Piezīmes.</w:t>
      </w:r>
    </w:p>
    <w:p w14:paraId="4F88CBFC" w14:textId="77777777" w:rsidR="009915E9" w:rsidRPr="00B51883" w:rsidRDefault="00FC7BA9">
      <w:r w:rsidRPr="00B51883">
        <w:t>* Iesniedzējs (fiziskai personai – vārds, uzvārds, juridiskai personai – nosaukums) var tikt publiskots, ja viņš tam ir piekritis. Ja attiecināms, iesniedzējs norāda interešu pārstāvja reģistrācijas numuru.</w:t>
      </w:r>
    </w:p>
    <w:p w14:paraId="4E0673C3" w14:textId="77777777" w:rsidR="009915E9" w:rsidRDefault="00FC7BA9">
      <w:r w:rsidRPr="00B51883">
        <w:t>** Dokumenta rekvizītus "datums" un "paraksts" neaizpilda, ja elektroniskais dokuments ir sagatavots atbilstoši normatīvajiem aktiem par elektronisko dokumentu noformēšanu.</w:t>
      </w:r>
    </w:p>
    <w:sectPr w:rsidR="009915E9">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3BB77" w14:textId="77777777" w:rsidR="00465DFE" w:rsidRDefault="00FC7BA9">
      <w:r>
        <w:separator/>
      </w:r>
    </w:p>
  </w:endnote>
  <w:endnote w:type="continuationSeparator" w:id="0">
    <w:p w14:paraId="3E98CE5A" w14:textId="77777777" w:rsidR="00465DFE" w:rsidRDefault="00FC7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CED4" w14:textId="77777777" w:rsidR="009915E9" w:rsidRDefault="00FC7BA9">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9FF3" w14:textId="77777777" w:rsidR="00465DFE" w:rsidRDefault="00FC7BA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3EB49" w14:textId="77777777" w:rsidR="00465DFE" w:rsidRDefault="00FC7BA9">
      <w:r>
        <w:separator/>
      </w:r>
    </w:p>
  </w:footnote>
  <w:footnote w:type="continuationSeparator" w:id="0">
    <w:p w14:paraId="231520CD" w14:textId="77777777" w:rsidR="00465DFE" w:rsidRDefault="00FC7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577A5" w14:textId="77777777" w:rsidR="009915E9" w:rsidRDefault="00FC7BA9">
    <w:pPr>
      <w:pStyle w:val="Header"/>
      <w:contextualSpacing w:val="0"/>
    </w:pPr>
    <w:r>
      <w:t>Viedokļu pārskats 24-TA-3243</w:t>
    </w:r>
    <w:r>
      <w:br/>
      <w:t>Izdrukāts 06.02.2025. 17.06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5A6D" w14:textId="77777777" w:rsidR="009915E9" w:rsidRDefault="00FC7BA9">
    <w:pPr>
      <w:pStyle w:val="Header"/>
      <w:contextualSpacing w:val="0"/>
    </w:pPr>
    <w:r>
      <w:t>Viedokļu pārskats 24-TA-3243</w:t>
    </w:r>
    <w:r>
      <w:br/>
      <w:t>Izdrukāts 06.02.2025. 17.06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63776"/>
    <w:multiLevelType w:val="hybridMultilevel"/>
    <w:tmpl w:val="E196C3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0AB0FEA"/>
    <w:multiLevelType w:val="hybridMultilevel"/>
    <w:tmpl w:val="8D50A9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EA43A7"/>
    <w:multiLevelType w:val="hybridMultilevel"/>
    <w:tmpl w:val="279865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4041922"/>
    <w:multiLevelType w:val="hybridMultilevel"/>
    <w:tmpl w:val="C5D63E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E9"/>
    <w:rsid w:val="0000334A"/>
    <w:rsid w:val="00053DE5"/>
    <w:rsid w:val="000570A7"/>
    <w:rsid w:val="00091663"/>
    <w:rsid w:val="000B4BD9"/>
    <w:rsid w:val="000C0986"/>
    <w:rsid w:val="00123FC3"/>
    <w:rsid w:val="0014383C"/>
    <w:rsid w:val="00150585"/>
    <w:rsid w:val="00165002"/>
    <w:rsid w:val="00183FEF"/>
    <w:rsid w:val="001952E0"/>
    <w:rsid w:val="001B37E3"/>
    <w:rsid w:val="00233C0E"/>
    <w:rsid w:val="002453D9"/>
    <w:rsid w:val="00250F4D"/>
    <w:rsid w:val="00261977"/>
    <w:rsid w:val="00280029"/>
    <w:rsid w:val="00280CCE"/>
    <w:rsid w:val="00303E99"/>
    <w:rsid w:val="00333B65"/>
    <w:rsid w:val="00333C7C"/>
    <w:rsid w:val="00362828"/>
    <w:rsid w:val="00364CE2"/>
    <w:rsid w:val="003A5F29"/>
    <w:rsid w:val="004343B5"/>
    <w:rsid w:val="00465DFE"/>
    <w:rsid w:val="00480224"/>
    <w:rsid w:val="00483E65"/>
    <w:rsid w:val="004952D4"/>
    <w:rsid w:val="004B28DC"/>
    <w:rsid w:val="00511A72"/>
    <w:rsid w:val="005447E2"/>
    <w:rsid w:val="00547240"/>
    <w:rsid w:val="00560AFA"/>
    <w:rsid w:val="005777AA"/>
    <w:rsid w:val="005B25FC"/>
    <w:rsid w:val="005F3CEA"/>
    <w:rsid w:val="00617550"/>
    <w:rsid w:val="0067139E"/>
    <w:rsid w:val="00683841"/>
    <w:rsid w:val="00690CE9"/>
    <w:rsid w:val="006D798A"/>
    <w:rsid w:val="006E0978"/>
    <w:rsid w:val="006E22FB"/>
    <w:rsid w:val="00705969"/>
    <w:rsid w:val="00740491"/>
    <w:rsid w:val="007623D6"/>
    <w:rsid w:val="00763CB3"/>
    <w:rsid w:val="00763D97"/>
    <w:rsid w:val="007A55AD"/>
    <w:rsid w:val="007B7EE1"/>
    <w:rsid w:val="007C5619"/>
    <w:rsid w:val="007D36DD"/>
    <w:rsid w:val="007F500B"/>
    <w:rsid w:val="008209A3"/>
    <w:rsid w:val="008529BC"/>
    <w:rsid w:val="00870171"/>
    <w:rsid w:val="00875BED"/>
    <w:rsid w:val="008A388C"/>
    <w:rsid w:val="008A4FCD"/>
    <w:rsid w:val="008C3740"/>
    <w:rsid w:val="008C3F5B"/>
    <w:rsid w:val="008C5364"/>
    <w:rsid w:val="008F08CC"/>
    <w:rsid w:val="00925115"/>
    <w:rsid w:val="0093767A"/>
    <w:rsid w:val="009832B4"/>
    <w:rsid w:val="009915E9"/>
    <w:rsid w:val="00995EFC"/>
    <w:rsid w:val="009C7A91"/>
    <w:rsid w:val="00A129F5"/>
    <w:rsid w:val="00A27DB5"/>
    <w:rsid w:val="00A30450"/>
    <w:rsid w:val="00A511C4"/>
    <w:rsid w:val="00A57BFA"/>
    <w:rsid w:val="00A62486"/>
    <w:rsid w:val="00A96E26"/>
    <w:rsid w:val="00AB5FA0"/>
    <w:rsid w:val="00B339AF"/>
    <w:rsid w:val="00B51883"/>
    <w:rsid w:val="00B544B6"/>
    <w:rsid w:val="00B564E5"/>
    <w:rsid w:val="00B608C7"/>
    <w:rsid w:val="00BA3996"/>
    <w:rsid w:val="00BA587D"/>
    <w:rsid w:val="00BB2259"/>
    <w:rsid w:val="00C01383"/>
    <w:rsid w:val="00C57DD7"/>
    <w:rsid w:val="00C77D79"/>
    <w:rsid w:val="00D17342"/>
    <w:rsid w:val="00D353BD"/>
    <w:rsid w:val="00D4525F"/>
    <w:rsid w:val="00DA6A47"/>
    <w:rsid w:val="00DE489E"/>
    <w:rsid w:val="00E55BE8"/>
    <w:rsid w:val="00E9772B"/>
    <w:rsid w:val="00EC24E6"/>
    <w:rsid w:val="00EE0C3B"/>
    <w:rsid w:val="00EF18B7"/>
    <w:rsid w:val="00F03358"/>
    <w:rsid w:val="00F61A88"/>
    <w:rsid w:val="00F71C13"/>
    <w:rsid w:val="00FC7B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1AD1"/>
  <w15:docId w15:val="{7F1CB09C-A818-491D-A5B4-0AAE8316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customStyle="1" w:styleId="scayt-misspell-word">
    <w:name w:val="scayt-misspell-word"/>
    <w:basedOn w:val="DefaultParagraphFont"/>
    <w:rsid w:val="00E55BE8"/>
  </w:style>
  <w:style w:type="paragraph" w:styleId="ListParagraph">
    <w:name w:val="List Paragraph"/>
    <w:basedOn w:val="Normal"/>
    <w:uiPriority w:val="34"/>
    <w:qFormat/>
    <w:rsid w:val="00C01383"/>
    <w:pPr>
      <w:ind w:left="720"/>
      <w:contextualSpacing/>
    </w:pPr>
  </w:style>
  <w:style w:type="character" w:styleId="Hyperlink">
    <w:name w:val="Hyperlink"/>
    <w:basedOn w:val="DefaultParagraphFont"/>
    <w:uiPriority w:val="99"/>
    <w:semiHidden/>
    <w:unhideWhenUsed/>
    <w:rsid w:val="00B608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12837">
      <w:bodyDiv w:val="1"/>
      <w:marLeft w:val="0"/>
      <w:marRight w:val="0"/>
      <w:marTop w:val="0"/>
      <w:marBottom w:val="0"/>
      <w:divBdr>
        <w:top w:val="none" w:sz="0" w:space="0" w:color="auto"/>
        <w:left w:val="none" w:sz="0" w:space="0" w:color="auto"/>
        <w:bottom w:val="none" w:sz="0" w:space="0" w:color="auto"/>
        <w:right w:val="none" w:sz="0" w:space="0" w:color="auto"/>
      </w:divBdr>
    </w:div>
    <w:div w:id="112988039">
      <w:bodyDiv w:val="1"/>
      <w:marLeft w:val="0"/>
      <w:marRight w:val="0"/>
      <w:marTop w:val="0"/>
      <w:marBottom w:val="0"/>
      <w:divBdr>
        <w:top w:val="none" w:sz="0" w:space="0" w:color="auto"/>
        <w:left w:val="none" w:sz="0" w:space="0" w:color="auto"/>
        <w:bottom w:val="none" w:sz="0" w:space="0" w:color="auto"/>
        <w:right w:val="none" w:sz="0" w:space="0" w:color="auto"/>
      </w:divBdr>
    </w:div>
    <w:div w:id="1436242360">
      <w:bodyDiv w:val="1"/>
      <w:marLeft w:val="0"/>
      <w:marRight w:val="0"/>
      <w:marTop w:val="0"/>
      <w:marBottom w:val="0"/>
      <w:divBdr>
        <w:top w:val="none" w:sz="0" w:space="0" w:color="auto"/>
        <w:left w:val="none" w:sz="0" w:space="0" w:color="auto"/>
        <w:bottom w:val="none" w:sz="0" w:space="0" w:color="auto"/>
        <w:right w:val="none" w:sz="0" w:space="0" w:color="auto"/>
      </w:divBdr>
    </w:div>
    <w:div w:id="1484352754">
      <w:bodyDiv w:val="1"/>
      <w:marLeft w:val="0"/>
      <w:marRight w:val="0"/>
      <w:marTop w:val="0"/>
      <w:marBottom w:val="0"/>
      <w:divBdr>
        <w:top w:val="none" w:sz="0" w:space="0" w:color="auto"/>
        <w:left w:val="none" w:sz="0" w:space="0" w:color="auto"/>
        <w:bottom w:val="none" w:sz="0" w:space="0" w:color="auto"/>
        <w:right w:val="none" w:sz="0" w:space="0" w:color="auto"/>
      </w:divBdr>
    </w:div>
    <w:div w:id="2122987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structuralizer/data/nodes/a723dcdf-9f4d-4f6a-9f1c-9c4da03fb1e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1440</TotalTime>
  <Pages>54</Pages>
  <Words>39115</Words>
  <Characters>22297</Characters>
  <Application>Microsoft Office Word</Application>
  <DocSecurity>0</DocSecurity>
  <Lines>185</Lines>
  <Paragraphs>122</Paragraphs>
  <ScaleCrop>false</ScaleCrop>
  <HeadingPairs>
    <vt:vector size="2" baseType="variant">
      <vt:variant>
        <vt:lpstr>Title</vt:lpstr>
      </vt:variant>
      <vt:variant>
        <vt:i4>1</vt:i4>
      </vt:variant>
    </vt:vector>
  </HeadingPairs>
  <TitlesOfParts>
    <vt:vector size="1" baseType="lpstr">
      <vt:lpstr>viedoklu_parskats_24-TA-3243.docx</vt:lpstr>
    </vt:vector>
  </TitlesOfParts>
  <Company/>
  <LinksUpToDate>false</LinksUpToDate>
  <CharactersWithSpaces>61290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viedoklu_parskats_24-TA-3243.docx</dc:title>
  <dc:creator>Jānis Mārtužs</dc:creator>
  <cp:lastModifiedBy>Jānis Mārtužs</cp:lastModifiedBy>
  <cp:revision>67</cp:revision>
  <dcterms:created xsi:type="dcterms:W3CDTF">2025-02-06T15:07:00Z</dcterms:created>
  <dcterms:modified xsi:type="dcterms:W3CDTF">2025-03-10T15:16:00Z</dcterms:modified>
</cp:coreProperties>
</file>