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A5D021" w14:textId="77777777" w:rsidR="00AB7942" w:rsidRDefault="00746825">
      <w:pPr>
        <w:spacing w:after="240"/>
        <w:jc w:val="center"/>
        <w:rPr>
          <w:b/>
        </w:rPr>
      </w:pPr>
      <w:r>
        <w:rPr>
          <w:b/>
        </w:rPr>
        <w:t>“Publiskās apspriešanas laikā 24.02.2026. - 10.03.2026. saņemto viedokļu, priekšlikumu un iebildumu apkopojums par Iekšlietu digitālā centra nolikums”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B7942" w14:paraId="3D3E9FBA" w14:textId="77777777">
        <w:tc>
          <w:tcPr>
            <w:tcW w:w="750" w:type="dxa"/>
            <w:shd w:val="clear" w:color="auto" w:fill="FFFFFF"/>
            <w:noWrap/>
            <w:tcMar>
              <w:top w:w="75" w:type="dxa"/>
              <w:left w:w="75" w:type="dxa"/>
              <w:bottom w:w="75" w:type="dxa"/>
              <w:right w:w="75" w:type="dxa"/>
            </w:tcMar>
            <w:vAlign w:val="center"/>
          </w:tcPr>
          <w:p w14:paraId="4B2E56A8" w14:textId="77777777" w:rsidR="00AB7942" w:rsidRDefault="00746825">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BBF4E9C" w14:textId="77777777" w:rsidR="00AB7942" w:rsidRDefault="00746825">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5379FE0" w14:textId="77777777" w:rsidR="00AB7942" w:rsidRDefault="00746825">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1FD08C0" w14:textId="77777777" w:rsidR="00AB7942" w:rsidRDefault="00746825">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3458651" w14:textId="77777777" w:rsidR="00AB7942" w:rsidRDefault="00746825">
            <w:pPr>
              <w:jc w:val="center"/>
            </w:pPr>
            <w:r>
              <w:rPr>
                <w:b/>
              </w:rPr>
              <w:t>Skaidrojums, kādā veidā viedoklis / priekšlikums / iebildums ir ņemts vērā vai ņemts vērā daļēji, vai pamatojums, ja viedoklis / priekšlikums / iebildums nav ņemts vērā</w:t>
            </w:r>
          </w:p>
        </w:tc>
      </w:tr>
      <w:tr w:rsidR="00AB7942" w14:paraId="0E7E3DE2" w14:textId="77777777">
        <w:tc>
          <w:tcPr>
            <w:tcW w:w="750" w:type="dxa"/>
            <w:shd w:val="clear" w:color="auto" w:fill="FFFFFF"/>
            <w:noWrap/>
            <w:tcMar>
              <w:top w:w="75" w:type="dxa"/>
              <w:left w:w="75" w:type="dxa"/>
              <w:bottom w:w="75" w:type="dxa"/>
              <w:right w:w="75" w:type="dxa"/>
            </w:tcMar>
            <w:vAlign w:val="center"/>
          </w:tcPr>
          <w:p w14:paraId="2682754B" w14:textId="77777777" w:rsidR="00AB7942" w:rsidRDefault="00746825">
            <w:pPr>
              <w:jc w:val="center"/>
            </w:pPr>
            <w:r>
              <w:t>1.</w:t>
            </w:r>
          </w:p>
        </w:tc>
        <w:tc>
          <w:tcPr>
            <w:tcW w:w="4055" w:type="dxa"/>
            <w:shd w:val="clear" w:color="auto" w:fill="FFFFFF"/>
            <w:noWrap/>
            <w:tcMar>
              <w:top w:w="75" w:type="dxa"/>
              <w:left w:w="75" w:type="dxa"/>
              <w:bottom w:w="75" w:type="dxa"/>
              <w:right w:w="75" w:type="dxa"/>
            </w:tcMar>
            <w:vAlign w:val="center"/>
          </w:tcPr>
          <w:p w14:paraId="75DA8619" w14:textId="77777777" w:rsidR="00AB7942" w:rsidRDefault="00746825">
            <w:pPr>
              <w:jc w:val="left"/>
            </w:pPr>
            <w:r>
              <w:t xml:space="preserve">Vladislavs </w:t>
            </w:r>
            <w:proofErr w:type="spellStart"/>
            <w:r>
              <w:t>Nazaruks</w:t>
            </w:r>
            <w:proofErr w:type="spellEnd"/>
          </w:p>
        </w:tc>
        <w:tc>
          <w:tcPr>
            <w:tcW w:w="4056" w:type="dxa"/>
            <w:shd w:val="clear" w:color="auto" w:fill="FFFFFF"/>
            <w:noWrap/>
            <w:tcMar>
              <w:top w:w="75" w:type="dxa"/>
              <w:left w:w="75" w:type="dxa"/>
              <w:bottom w:w="75" w:type="dxa"/>
              <w:right w:w="75" w:type="dxa"/>
            </w:tcMar>
            <w:vAlign w:val="center"/>
          </w:tcPr>
          <w:p w14:paraId="5B5774B3" w14:textId="77777777" w:rsidR="00AB7942" w:rsidRDefault="00746825">
            <w:pPr>
              <w:jc w:val="left"/>
            </w:pPr>
            <w:r>
              <w:t xml:space="preserve">1) Noteikumu projekta 6. un 7. punkta formulējumi nav konsekventi attiecībā uz lēmuma pārsūdzēšanas iespējas tiesā norādīšanu/nenorādīšanu. Tā, Administratīvā procesa likums (turpmāk – APL) paredz vienādas tiesības pārsūdzēt lēmumu par apstrīdēto administratīvo aktu (faktisko rīcību) – neatkarīgi no tā, vai lēmumu pieņēmis Centra priekšnieks vai ministrija. Tāpēc vai nu jāpapildina 6. punkts ar norādi par Centra priekšnieka lēmuma pārsūdzēšanas iespēju tiesā, vai nu no 7. punkta jāizslēdz līdzīgā norāde. Tā kā APL </w:t>
            </w:r>
            <w:r>
              <w:lastRenderedPageBreak/>
              <w:t>81. panta piektā daļa vispārīgi paredz lēmuma par apstrīdēto administratīvo aktu pārsūdzēšanas iespēju, norādes par lēmumu pārsūdzēšanas iespējām tiesā noteikumu 6. un 7. punktā faktiski būtu likumā jau paredzēto tiesību normu dublēšanās.</w:t>
            </w:r>
            <w:r>
              <w:br/>
            </w:r>
            <w:r>
              <w:br/>
              <w:t xml:space="preserve">2) Noteikumu projekta 6. un 7. punktā tekstā “administratīvo aktu un faktisko rīcību” vārds “un” jāaizstāj ar vārdu “vai”, jo pieļaujama ir arī tikai administratīvā akta vai tikai faktiskās rīcības apstrīdēšana. (Arī Valsts pārvaldes iekārtas likuma 16. panta otrās daļas 6. punktā līdzīgā formulējumā izmantots vārds “vai”: “…privātpersona var apstrīdēt administratīvo aktu </w:t>
            </w:r>
            <w:r>
              <w:rPr>
                <w:u w:val="single"/>
              </w:rPr>
              <w:t>vai</w:t>
            </w:r>
            <w:r>
              <w:t xml:space="preserve"> faktisko rīcību”.)</w:t>
            </w:r>
          </w:p>
        </w:tc>
        <w:tc>
          <w:tcPr>
            <w:tcW w:w="1650" w:type="dxa"/>
            <w:shd w:val="clear" w:color="auto" w:fill="FFFFFF"/>
            <w:noWrap/>
            <w:tcMar>
              <w:top w:w="75" w:type="dxa"/>
              <w:left w:w="75" w:type="dxa"/>
              <w:bottom w:w="75" w:type="dxa"/>
              <w:right w:w="75" w:type="dxa"/>
            </w:tcMar>
            <w:vAlign w:val="center"/>
          </w:tcPr>
          <w:p w14:paraId="4524EE8A" w14:textId="77777777" w:rsidR="00AB7942" w:rsidRDefault="00907DE6">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4DFF31C" w14:textId="77777777" w:rsidR="00AB7942" w:rsidRDefault="00907DE6">
            <w:pPr>
              <w:jc w:val="left"/>
            </w:pPr>
            <w:r>
              <w:t>Precizēts noteikumu 6. un 7. punkts.</w:t>
            </w:r>
          </w:p>
        </w:tc>
      </w:tr>
      <w:tr w:rsidR="00AB7942" w14:paraId="4D79F988" w14:textId="77777777">
        <w:tc>
          <w:tcPr>
            <w:tcW w:w="750" w:type="dxa"/>
            <w:shd w:val="clear" w:color="auto" w:fill="FFFFFF"/>
            <w:noWrap/>
            <w:tcMar>
              <w:top w:w="75" w:type="dxa"/>
              <w:left w:w="75" w:type="dxa"/>
              <w:bottom w:w="75" w:type="dxa"/>
              <w:right w:w="75" w:type="dxa"/>
            </w:tcMar>
            <w:vAlign w:val="center"/>
          </w:tcPr>
          <w:p w14:paraId="1C18D03C" w14:textId="77777777" w:rsidR="00AB7942" w:rsidRDefault="00746825">
            <w:pPr>
              <w:jc w:val="center"/>
            </w:pPr>
            <w:r>
              <w:t>2.</w:t>
            </w:r>
          </w:p>
        </w:tc>
        <w:tc>
          <w:tcPr>
            <w:tcW w:w="4055" w:type="dxa"/>
            <w:shd w:val="clear" w:color="auto" w:fill="FFFFFF"/>
            <w:noWrap/>
            <w:tcMar>
              <w:top w:w="75" w:type="dxa"/>
              <w:left w:w="75" w:type="dxa"/>
              <w:bottom w:w="75" w:type="dxa"/>
              <w:right w:w="75" w:type="dxa"/>
            </w:tcMar>
            <w:vAlign w:val="center"/>
          </w:tcPr>
          <w:p w14:paraId="7EF94C0F" w14:textId="77777777" w:rsidR="00AB7942" w:rsidRDefault="00746825">
            <w:pPr>
              <w:jc w:val="left"/>
            </w:pPr>
            <w:r>
              <w:t xml:space="preserve">Vladislavs </w:t>
            </w:r>
            <w:proofErr w:type="spellStart"/>
            <w:r>
              <w:t>Nazaruks</w:t>
            </w:r>
            <w:proofErr w:type="spellEnd"/>
          </w:p>
        </w:tc>
        <w:tc>
          <w:tcPr>
            <w:tcW w:w="4056" w:type="dxa"/>
            <w:shd w:val="clear" w:color="auto" w:fill="FFFFFF"/>
            <w:noWrap/>
            <w:tcMar>
              <w:top w:w="75" w:type="dxa"/>
              <w:left w:w="75" w:type="dxa"/>
              <w:bottom w:w="75" w:type="dxa"/>
              <w:right w:w="75" w:type="dxa"/>
            </w:tcMar>
            <w:vAlign w:val="center"/>
          </w:tcPr>
          <w:p w14:paraId="3CE7D97B" w14:textId="77777777" w:rsidR="00AB7942" w:rsidRDefault="00746825">
            <w:pPr>
              <w:jc w:val="left"/>
            </w:pPr>
            <w:r>
              <w:t xml:space="preserve">[1] Valsts pārvaldes iestādes funkcijas sastāv no atsevišķiem uzdevumiem un atbildības par to izpildi. Uzdevumiem jābūt definētiem tā, lai to izpildi varētu </w:t>
            </w:r>
            <w:r>
              <w:lastRenderedPageBreak/>
              <w:t>objektīvi novērtēt. Tāpēc uzdevumiem ir jābūt definētiem daudz konkrētāk nekā funkcijām. Arī nav pieļaujams, ka kādai funkcijai neatbilst neviens uzdevums.</w:t>
            </w:r>
            <w:r>
              <w:br/>
            </w:r>
            <w:r>
              <w:br/>
              <w:t>Šobrīd noteikumu projektā definētajām funkcijām un uzdevumiem to kopsakarā ir vairāki būtiski trūkumi, kas liecina par tiešās pārvaldes iestādes nolikuma atbilstību tā satura prasībām (skat. Valsts pārvaldes iekārtas likuma 16. panta otro daļu) tikai formāli, nevis pēc būtības. Piemēram:</w:t>
            </w:r>
            <w:r>
              <w:br/>
              <w:t xml:space="preserve">* uzdevums </w:t>
            </w:r>
            <w:r>
              <w:rPr>
                <w:i/>
              </w:rPr>
              <w:t>“nodrošina Centra pārziņā esošās informācijas un komunikācijas tehnoloģiju infrastruktūras uzturēšanu, nepārtrauktu darbību un aizsardzību, kā arī atjaunošanu un attīstību iekšlietu nozares vajadzībām”</w:t>
            </w:r>
            <w:r>
              <w:t xml:space="preserve"> (4.4. apakšpunkts) ir definēts gandrīz identiski un tikpat abstrakti kā funkcija </w:t>
            </w:r>
            <w:r>
              <w:rPr>
                <w:i/>
              </w:rPr>
              <w:t xml:space="preserve">“nodrošināt Centra pārziņā esošās </w:t>
            </w:r>
            <w:r>
              <w:rPr>
                <w:i/>
              </w:rPr>
              <w:lastRenderedPageBreak/>
              <w:t>informācijas un komunikācijas tehnoloģiju infrastruktūras, informācijas sistēmu un sakaru sistēmu uzturēšanu un attīstību”</w:t>
            </w:r>
            <w:r>
              <w:t xml:space="preserve"> (3.3. apakšpunkts) – nav iespējams objektīvi novērtēt šī uzdevuma izpildi;</w:t>
            </w:r>
            <w:r>
              <w:br/>
              <w:t xml:space="preserve">* līdzīgi uzdevums </w:t>
            </w:r>
            <w:r>
              <w:rPr>
                <w:i/>
              </w:rPr>
              <w:t>“uztur informācijas un komunikācijas tehnoloģiju risinājumus, lai nodrošinātu Centra informācijas un komunikācijas tehnoloģiju infrastruktūrā izvietoto informācijas sistēmu nepārtrauktu darbību un aizsardzību”</w:t>
            </w:r>
            <w:r>
              <w:t xml:space="preserve"> (4.1. apakšpunkts) ir definēts pārāk abstrakti; turklāt konstrukcija “lai…” definē nevis pašu uzdevumu, bet uzdevuma nolūku;</w:t>
            </w:r>
            <w:r>
              <w:br/>
              <w:t>* 3.4. apakšpunktā definētajai funkcijai neatbilst neviens uzdevums.</w:t>
            </w:r>
            <w:r>
              <w:br/>
            </w:r>
            <w:r>
              <w:br/>
              <w:t xml:space="preserve">Par ļoti labu tiešās pārvaldes iestādes nolikuma piemēru šajā aspektā var kalpot Ministru kabineta 11.12.2012. noteikumi </w:t>
            </w:r>
            <w:r>
              <w:lastRenderedPageBreak/>
              <w:t>Nr. 839 “Nodrošinājuma valsts aģentūras nolikums”.</w:t>
            </w:r>
            <w:r>
              <w:br/>
            </w:r>
            <w:r>
              <w:br/>
              <w:t xml:space="preserve">[2] 4.9. apakšpunkta teksts jākoriģē, jo šobrīd tas lasāms </w:t>
            </w:r>
            <w:r>
              <w:rPr>
                <w:i/>
              </w:rPr>
              <w:t>“Lai īstenotu noteiktās funkcijas, Centrs veic šādus uzdevumus: pilda citus normatīvajos aktos noteiktos uzdevumus”</w:t>
            </w:r>
            <w:r>
              <w:t>. Piemēram, šī apakšpunkta teksts var tikt aizstāts ar “citi normatīvajos aktos noteiktie uzdevumi”.</w:t>
            </w:r>
            <w:r>
              <w:br/>
            </w:r>
            <w:r>
              <w:br/>
              <w:t xml:space="preserve">[3] Valsts pārvaldes iekārtas likuma 16. panta otrās daļas 3. punkts paredz, ka nolikumā jānorāda arī iestādes kompetence. Tomēr noteikumu projektā Centra kompetence nav norādīta. Turklāt, noteikumu projektā, salīdzinot ar spēkā esošiem Centra nolikuma noteikumiem, no otrās nodaļas nosaukuma (“Centra funkcijas, uzdevumi un kompetence”) tika izslēgts vārds “kompetence”: noteikumu projektā nodaļas nosaukums ir “Centra funkcijas un uzdevumi”. Tas nav pieņemams, </w:t>
            </w:r>
            <w:r>
              <w:lastRenderedPageBreak/>
              <w:t>sevišķi ņemot vērā noteikumu projekta 4.3. apakšpunktā esošo atsauci uz Centra kompetenci.</w:t>
            </w:r>
          </w:p>
        </w:tc>
        <w:tc>
          <w:tcPr>
            <w:tcW w:w="1650" w:type="dxa"/>
            <w:shd w:val="clear" w:color="auto" w:fill="FFFFFF"/>
            <w:noWrap/>
            <w:tcMar>
              <w:top w:w="75" w:type="dxa"/>
              <w:left w:w="75" w:type="dxa"/>
              <w:bottom w:w="75" w:type="dxa"/>
              <w:right w:w="75" w:type="dxa"/>
            </w:tcMar>
            <w:vAlign w:val="center"/>
          </w:tcPr>
          <w:p w14:paraId="258F0B3E" w14:textId="77777777" w:rsidR="00AB7942" w:rsidRDefault="00F317EC">
            <w:pPr>
              <w:jc w:val="left"/>
            </w:pPr>
            <w:r>
              <w:lastRenderedPageBreak/>
              <w:t>Ņemts vērā daļēji</w:t>
            </w:r>
          </w:p>
        </w:tc>
        <w:tc>
          <w:tcPr>
            <w:tcW w:w="4056" w:type="dxa"/>
            <w:shd w:val="clear" w:color="auto" w:fill="FFFFFF"/>
            <w:noWrap/>
            <w:tcMar>
              <w:top w:w="75" w:type="dxa"/>
              <w:left w:w="75" w:type="dxa"/>
              <w:bottom w:w="75" w:type="dxa"/>
              <w:right w:w="75" w:type="dxa"/>
            </w:tcMar>
            <w:vAlign w:val="center"/>
          </w:tcPr>
          <w:p w14:paraId="7BAF0EE7" w14:textId="5BD85E72" w:rsidR="00F11EA9" w:rsidRDefault="00F11EA9">
            <w:pPr>
              <w:jc w:val="left"/>
            </w:pPr>
            <w:r>
              <w:t xml:space="preserve">Centra funkcijas un uzdevumi ir definēti, vadoties no Centra darbības </w:t>
            </w:r>
            <w:r w:rsidR="001B28AC">
              <w:t>mērķa</w:t>
            </w:r>
            <w:r>
              <w:t xml:space="preserve"> objektīva novērtējuma.</w:t>
            </w:r>
          </w:p>
          <w:p w14:paraId="05DBBBC4" w14:textId="77777777" w:rsidR="00AB7942" w:rsidRDefault="00B74F38">
            <w:pPr>
              <w:jc w:val="left"/>
            </w:pPr>
            <w:r>
              <w:t xml:space="preserve">Noteikumu projekta </w:t>
            </w:r>
            <w:r>
              <w:lastRenderedPageBreak/>
              <w:t xml:space="preserve">3.3. apakšpunkts noteic, ka </w:t>
            </w:r>
            <w:r w:rsidR="00F11EA9">
              <w:t xml:space="preserve">viena no Centra funkcijām ir </w:t>
            </w:r>
            <w:r>
              <w:t>nodrošināt Centra pārziņā esošās informācijas un komunikācijas tehnoloģiju infrastruktūras, informācijas sistēmu un sakaru sistēmu uzturēšanu un attīstību</w:t>
            </w:r>
            <w:r w:rsidR="00F11EA9">
              <w:t>. Ņemot vērā noteikumu projekta anotācijā minēto, lai nodrošinātu 3.3. apakšpunktā minētās funkcijas izpildi Centrs veic noteikumu projekta 4.6., 4.7. un 4.8. apakšpunktā minētos uzdevumus.</w:t>
            </w:r>
          </w:p>
          <w:p w14:paraId="1181ECEF" w14:textId="0168F93B" w:rsidR="00C776C9" w:rsidRDefault="00F317EC">
            <w:pPr>
              <w:jc w:val="left"/>
            </w:pPr>
            <w:r>
              <w:t>Precizēts noteikumu projekta 4.9. apakšpunkts.</w:t>
            </w:r>
          </w:p>
          <w:p w14:paraId="70ECF4D8" w14:textId="25CDC8F5" w:rsidR="00A10BC7" w:rsidRDefault="00956899">
            <w:pPr>
              <w:jc w:val="left"/>
            </w:pPr>
            <w:r>
              <w:t xml:space="preserve">Precizēts noteikumu projekta </w:t>
            </w:r>
            <w:r w:rsidR="0027769D">
              <w:t>4.3. apakšpunkts.</w:t>
            </w:r>
          </w:p>
        </w:tc>
      </w:tr>
    </w:tbl>
    <w:p w14:paraId="5B66A202" w14:textId="77777777" w:rsidR="00AB7942" w:rsidRDefault="00AB7942"/>
    <w:tbl>
      <w:tblPr>
        <w:tblStyle w:val="a"/>
        <w:tblW w:w="14567" w:type="dxa"/>
        <w:tblLayout w:type="fixed"/>
        <w:tblLook w:val="0600" w:firstRow="0" w:lastRow="0" w:firstColumn="0" w:lastColumn="0" w:noHBand="1" w:noVBand="1"/>
      </w:tblPr>
      <w:tblGrid>
        <w:gridCol w:w="4855"/>
        <w:gridCol w:w="4856"/>
        <w:gridCol w:w="4856"/>
      </w:tblGrid>
      <w:tr w:rsidR="00AB7942" w14:paraId="3413B306" w14:textId="77777777">
        <w:tc>
          <w:tcPr>
            <w:tcW w:w="4855" w:type="dxa"/>
            <w:shd w:val="clear" w:color="auto" w:fill="FFFFFF"/>
            <w:noWrap/>
            <w:tcMar>
              <w:top w:w="75" w:type="dxa"/>
              <w:left w:w="75" w:type="dxa"/>
              <w:bottom w:w="75" w:type="dxa"/>
              <w:right w:w="75" w:type="dxa"/>
            </w:tcMar>
            <w:vAlign w:val="center"/>
          </w:tcPr>
          <w:p w14:paraId="0B620B22" w14:textId="77777777" w:rsidR="00AB7942" w:rsidRDefault="00746825">
            <w:pPr>
              <w:jc w:val="left"/>
            </w:pPr>
            <w:r>
              <w:t>Datums**</w:t>
            </w:r>
          </w:p>
        </w:tc>
        <w:tc>
          <w:tcPr>
            <w:tcW w:w="4856" w:type="dxa"/>
            <w:shd w:val="clear" w:color="auto" w:fill="FFFFFF"/>
            <w:noWrap/>
            <w:tcMar>
              <w:top w:w="75" w:type="dxa"/>
              <w:left w:w="75" w:type="dxa"/>
              <w:bottom w:w="75" w:type="dxa"/>
              <w:right w:w="75" w:type="dxa"/>
            </w:tcMar>
            <w:vAlign w:val="center"/>
          </w:tcPr>
          <w:p w14:paraId="4B51DA1D" w14:textId="77777777" w:rsidR="00AB7942" w:rsidRDefault="00AB794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E295E4F" w14:textId="77777777" w:rsidR="00AB7942" w:rsidRDefault="00AB7942"/>
        </w:tc>
      </w:tr>
      <w:tr w:rsidR="00AB7942" w14:paraId="604C1667" w14:textId="77777777">
        <w:tc>
          <w:tcPr>
            <w:tcW w:w="4855" w:type="dxa"/>
            <w:shd w:val="clear" w:color="auto" w:fill="FFFFFF"/>
            <w:noWrap/>
            <w:tcMar>
              <w:top w:w="75" w:type="dxa"/>
              <w:left w:w="75" w:type="dxa"/>
              <w:bottom w:w="75" w:type="dxa"/>
              <w:right w:w="75" w:type="dxa"/>
            </w:tcMar>
            <w:vAlign w:val="center"/>
          </w:tcPr>
          <w:p w14:paraId="72C7BB1A" w14:textId="77777777" w:rsidR="00AB7942" w:rsidRDefault="00AB7942"/>
        </w:tc>
        <w:tc>
          <w:tcPr>
            <w:tcW w:w="4856" w:type="dxa"/>
            <w:shd w:val="clear" w:color="auto" w:fill="FFFFFF"/>
            <w:noWrap/>
            <w:tcMar>
              <w:top w:w="75" w:type="dxa"/>
              <w:left w:w="75" w:type="dxa"/>
              <w:bottom w:w="75" w:type="dxa"/>
              <w:right w:w="75" w:type="dxa"/>
            </w:tcMar>
            <w:vAlign w:val="center"/>
          </w:tcPr>
          <w:p w14:paraId="7361D10C" w14:textId="77777777" w:rsidR="00AB7942" w:rsidRDefault="00746825">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A9DBC43" w14:textId="77777777" w:rsidR="00AB7942" w:rsidRDefault="00AB7942"/>
        </w:tc>
      </w:tr>
      <w:tr w:rsidR="00AB7942" w14:paraId="6A88BF51" w14:textId="77777777">
        <w:tc>
          <w:tcPr>
            <w:tcW w:w="4855" w:type="dxa"/>
            <w:shd w:val="clear" w:color="auto" w:fill="FFFFFF"/>
            <w:noWrap/>
            <w:tcMar>
              <w:top w:w="75" w:type="dxa"/>
              <w:left w:w="75" w:type="dxa"/>
              <w:bottom w:w="75" w:type="dxa"/>
              <w:right w:w="75" w:type="dxa"/>
            </w:tcMar>
            <w:vAlign w:val="center"/>
          </w:tcPr>
          <w:p w14:paraId="620452DE" w14:textId="77777777" w:rsidR="00AB7942" w:rsidRDefault="00746825">
            <w:pPr>
              <w:jc w:val="left"/>
            </w:pPr>
            <w:r>
              <w:t>Atbildīgā persona</w:t>
            </w:r>
          </w:p>
        </w:tc>
        <w:tc>
          <w:tcPr>
            <w:tcW w:w="4856" w:type="dxa"/>
            <w:shd w:val="clear" w:color="auto" w:fill="FFFFFF"/>
            <w:noWrap/>
            <w:tcMar>
              <w:top w:w="75" w:type="dxa"/>
              <w:left w:w="75" w:type="dxa"/>
              <w:bottom w:w="75" w:type="dxa"/>
              <w:right w:w="75" w:type="dxa"/>
            </w:tcMar>
            <w:vAlign w:val="center"/>
          </w:tcPr>
          <w:p w14:paraId="5AEC0C9A" w14:textId="77777777" w:rsidR="00AB7942" w:rsidRDefault="00AB7942">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CAC56C0" w14:textId="77777777" w:rsidR="00AB7942" w:rsidRDefault="00AB7942"/>
        </w:tc>
      </w:tr>
      <w:tr w:rsidR="00AB7942" w14:paraId="5BC516E6" w14:textId="77777777">
        <w:tc>
          <w:tcPr>
            <w:tcW w:w="4855" w:type="dxa"/>
            <w:shd w:val="clear" w:color="auto" w:fill="FFFFFF"/>
            <w:noWrap/>
            <w:tcMar>
              <w:top w:w="75" w:type="dxa"/>
              <w:left w:w="75" w:type="dxa"/>
              <w:bottom w:w="75" w:type="dxa"/>
              <w:right w:w="75" w:type="dxa"/>
            </w:tcMar>
            <w:vAlign w:val="center"/>
          </w:tcPr>
          <w:p w14:paraId="1B206FC7" w14:textId="77777777" w:rsidR="00AB7942" w:rsidRDefault="00AB7942"/>
        </w:tc>
        <w:tc>
          <w:tcPr>
            <w:tcW w:w="4856" w:type="dxa"/>
            <w:shd w:val="clear" w:color="auto" w:fill="FFFFFF"/>
            <w:noWrap/>
            <w:tcMar>
              <w:top w:w="75" w:type="dxa"/>
              <w:left w:w="75" w:type="dxa"/>
              <w:bottom w:w="75" w:type="dxa"/>
              <w:right w:w="75" w:type="dxa"/>
            </w:tcMar>
            <w:vAlign w:val="center"/>
          </w:tcPr>
          <w:p w14:paraId="466CE79B" w14:textId="77777777" w:rsidR="00AB7942" w:rsidRDefault="00746825">
            <w:pPr>
              <w:jc w:val="center"/>
            </w:pPr>
            <w:r>
              <w:t>(vārds, uzvārds, paraksts**)</w:t>
            </w:r>
          </w:p>
        </w:tc>
        <w:tc>
          <w:tcPr>
            <w:tcW w:w="4856" w:type="dxa"/>
            <w:shd w:val="clear" w:color="auto" w:fill="FFFFFF"/>
            <w:noWrap/>
            <w:tcMar>
              <w:top w:w="75" w:type="dxa"/>
              <w:left w:w="75" w:type="dxa"/>
              <w:bottom w:w="75" w:type="dxa"/>
              <w:right w:w="75" w:type="dxa"/>
            </w:tcMar>
            <w:vAlign w:val="center"/>
          </w:tcPr>
          <w:p w14:paraId="5AFDF5A1" w14:textId="77777777" w:rsidR="00AB7942" w:rsidRDefault="00AB7942"/>
        </w:tc>
      </w:tr>
    </w:tbl>
    <w:p w14:paraId="330C6799" w14:textId="77777777" w:rsidR="00AB7942" w:rsidRDefault="00AB7942"/>
    <w:p w14:paraId="7DEF1D96" w14:textId="77777777" w:rsidR="00AB7942" w:rsidRDefault="00746825">
      <w:r>
        <w:t>Piezīmes.</w:t>
      </w:r>
    </w:p>
    <w:p w14:paraId="594F0EDC" w14:textId="77777777" w:rsidR="00AB7942" w:rsidRDefault="00746825">
      <w:r>
        <w:t>* Iesniedzējs (fiziskai personai – vārds, uzvārds, juridiskai personai – nosaukums) var tikt publiskots, ja viņš tam ir piekritis. Ja attiecināms, iesniedzējs norāda interešu pārstāvja reģistrācijas numuru.</w:t>
      </w:r>
    </w:p>
    <w:p w14:paraId="48F9E211" w14:textId="77777777" w:rsidR="00AB7942" w:rsidRDefault="00746825">
      <w:r>
        <w:t>** Dokumenta rekvizītus "datums" un "paraksts" neaizpilda, ja elektroniskais dokuments ir sagatavots atbilstoši normatīvajiem aktiem par elektronisko dokumentu noformēšanu.</w:t>
      </w:r>
    </w:p>
    <w:sectPr w:rsidR="00AB7942">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B4CB2" w14:textId="77777777" w:rsidR="00D46648" w:rsidRDefault="00D46648">
      <w:r>
        <w:separator/>
      </w:r>
    </w:p>
  </w:endnote>
  <w:endnote w:type="continuationSeparator" w:id="0">
    <w:p w14:paraId="3EEBF792" w14:textId="77777777" w:rsidR="00D46648" w:rsidRDefault="00D4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4ECA" w14:textId="77777777" w:rsidR="00AB7942" w:rsidRDefault="00746825">
    <w:pPr>
      <w:jc w:val="right"/>
    </w:pPr>
    <w:r>
      <w:rPr>
        <w:sz w:val="24"/>
        <w:szCs w:val="24"/>
      </w:rPr>
      <w:fldChar w:fldCharType="begin"/>
    </w:r>
    <w:r>
      <w:rPr>
        <w:sz w:val="24"/>
        <w:szCs w:val="24"/>
      </w:rPr>
      <w:instrText>PAGE</w:instrText>
    </w:r>
    <w:r>
      <w:rPr>
        <w:sz w:val="24"/>
        <w:szCs w:val="24"/>
      </w:rPr>
      <w:fldChar w:fldCharType="separate"/>
    </w:r>
    <w:r w:rsidR="004B4E9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2DA5" w14:textId="77777777" w:rsidR="00381D2C" w:rsidRDefault="0074682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236D" w14:textId="77777777" w:rsidR="00D46648" w:rsidRDefault="00D46648">
      <w:r>
        <w:separator/>
      </w:r>
    </w:p>
  </w:footnote>
  <w:footnote w:type="continuationSeparator" w:id="0">
    <w:p w14:paraId="0EBA0504" w14:textId="77777777" w:rsidR="00D46648" w:rsidRDefault="00D46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FCA7" w14:textId="77777777" w:rsidR="00AB7942" w:rsidRDefault="00746825">
    <w:pPr>
      <w:pStyle w:val="Header"/>
      <w:contextualSpacing w:val="0"/>
    </w:pPr>
    <w:r>
      <w:t>Viedokļu pārskats 25-TA-2038</w:t>
    </w:r>
    <w:r>
      <w:br/>
      <w:t>Izdrukāts 11.03.2026. 08.22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1EBA" w14:textId="77777777" w:rsidR="00AB7942" w:rsidRDefault="00746825">
    <w:pPr>
      <w:pStyle w:val="Header"/>
      <w:contextualSpacing w:val="0"/>
    </w:pPr>
    <w:r>
      <w:t>Viedokļu pārskats 25-TA-2038</w:t>
    </w:r>
    <w:r>
      <w:br/>
      <w:t>Izdrukāts 11.03.2026. 08.22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42"/>
    <w:rsid w:val="001B28AC"/>
    <w:rsid w:val="00270854"/>
    <w:rsid w:val="0027769D"/>
    <w:rsid w:val="00381D2C"/>
    <w:rsid w:val="004B4E9F"/>
    <w:rsid w:val="00746825"/>
    <w:rsid w:val="00897323"/>
    <w:rsid w:val="00907DE6"/>
    <w:rsid w:val="00956899"/>
    <w:rsid w:val="00A10BC7"/>
    <w:rsid w:val="00AB7942"/>
    <w:rsid w:val="00B74F38"/>
    <w:rsid w:val="00C776C9"/>
    <w:rsid w:val="00D46648"/>
    <w:rsid w:val="00F11EA9"/>
    <w:rsid w:val="00F3014D"/>
    <w:rsid w:val="00F317EC"/>
    <w:rsid w:val="00F903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BBC4"/>
  <w15:docId w15:val="{FACDB70F-76F0-4CA2-B0D4-2C7BD019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3435</Words>
  <Characters>1958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viedoklu_parskats_25-TA-2038.docx</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viedoklu_parskats_25-TA-2038.docx</dc:title>
  <dc:creator>Sigita Alekse</dc:creator>
  <cp:lastModifiedBy>Sigita Alekse</cp:lastModifiedBy>
  <cp:revision>2</cp:revision>
  <dcterms:created xsi:type="dcterms:W3CDTF">2026-03-24T12:19:00Z</dcterms:created>
  <dcterms:modified xsi:type="dcterms:W3CDTF">2026-03-24T12:19:00Z</dcterms:modified>
</cp:coreProperties>
</file>