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73E91C1" w14:textId="77777777" w:rsidR="002769C2" w:rsidRDefault="00000000">
      <w:pPr>
        <w:spacing w:after="240"/>
        <w:jc w:val="center"/>
        <w:rPr>
          <w:b/>
        </w:rPr>
      </w:pPr>
      <w:r>
        <w:rPr>
          <w:b/>
        </w:rPr>
        <w:t>“Publiskās apspriešanas laikā 31.03.2026. - 14.04.2026. saņemto viedokļu, priekšlikumu un iebildumu apkopojums par Grozījumi Ministru kabineta 2021. gada 8. aprīļa noteikumos Nr.&amp;nbsp;222 "Ēku energoefektivitātes aprēķina metodes un ēku energosertifikācijas noteikumi"”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2769C2" w14:paraId="073B5517" w14:textId="77777777">
        <w:tc>
          <w:tcPr>
            <w:tcW w:w="750" w:type="dxa"/>
            <w:shd w:val="clear" w:color="auto" w:fill="FFFFFF"/>
            <w:noWrap/>
            <w:tcMar>
              <w:top w:w="75" w:type="dxa"/>
              <w:left w:w="75" w:type="dxa"/>
              <w:bottom w:w="75" w:type="dxa"/>
              <w:right w:w="75" w:type="dxa"/>
            </w:tcMar>
            <w:vAlign w:val="center"/>
          </w:tcPr>
          <w:p w14:paraId="566A4EC3" w14:textId="77777777" w:rsidR="002769C2" w:rsidRDefault="00000000">
            <w:pPr>
              <w:jc w:val="center"/>
            </w:pPr>
            <w:r>
              <w:rPr>
                <w:b/>
              </w:rPr>
              <w:t>Nr.p.k.</w:t>
            </w:r>
          </w:p>
        </w:tc>
        <w:tc>
          <w:tcPr>
            <w:tcW w:w="4055" w:type="dxa"/>
            <w:shd w:val="clear" w:color="auto" w:fill="FFFFFF"/>
            <w:noWrap/>
            <w:tcMar>
              <w:top w:w="75" w:type="dxa"/>
              <w:left w:w="75" w:type="dxa"/>
              <w:bottom w:w="75" w:type="dxa"/>
              <w:right w:w="75" w:type="dxa"/>
            </w:tcMar>
            <w:vAlign w:val="center"/>
          </w:tcPr>
          <w:p w14:paraId="475C6AC7" w14:textId="77777777" w:rsidR="002769C2" w:rsidRDefault="00000000">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3F792943" w14:textId="77777777" w:rsidR="002769C2" w:rsidRDefault="00000000">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2630C86E" w14:textId="77777777" w:rsidR="002769C2" w:rsidRDefault="00000000">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3885FCAD" w14:textId="77777777" w:rsidR="002769C2" w:rsidRDefault="00000000">
            <w:pPr>
              <w:jc w:val="center"/>
            </w:pPr>
            <w:r>
              <w:rPr>
                <w:b/>
              </w:rPr>
              <w:t>Skaidrojums, kādā veidā viedoklis / priekšlikums / iebildums ir ņemts vērā vai ņemts vērā daļēji, vai pamatojums, ja viedoklis / priekšlikums / iebildums nav ņemts vērā</w:t>
            </w:r>
          </w:p>
        </w:tc>
      </w:tr>
      <w:tr w:rsidR="002769C2" w14:paraId="2BD52061" w14:textId="77777777">
        <w:tc>
          <w:tcPr>
            <w:tcW w:w="750" w:type="dxa"/>
            <w:shd w:val="clear" w:color="auto" w:fill="FFFFFF"/>
            <w:noWrap/>
            <w:tcMar>
              <w:top w:w="75" w:type="dxa"/>
              <w:left w:w="75" w:type="dxa"/>
              <w:bottom w:w="75" w:type="dxa"/>
              <w:right w:w="75" w:type="dxa"/>
            </w:tcMar>
            <w:vAlign w:val="center"/>
          </w:tcPr>
          <w:p w14:paraId="0A3BF779" w14:textId="77777777" w:rsidR="002769C2" w:rsidRDefault="00000000">
            <w:pPr>
              <w:jc w:val="center"/>
            </w:pPr>
            <w:r>
              <w:t>1.</w:t>
            </w:r>
          </w:p>
        </w:tc>
        <w:tc>
          <w:tcPr>
            <w:tcW w:w="4055" w:type="dxa"/>
            <w:shd w:val="clear" w:color="auto" w:fill="FFFFFF"/>
            <w:noWrap/>
            <w:tcMar>
              <w:top w:w="75" w:type="dxa"/>
              <w:left w:w="75" w:type="dxa"/>
              <w:bottom w:w="75" w:type="dxa"/>
              <w:right w:w="75" w:type="dxa"/>
            </w:tcMar>
            <w:vAlign w:val="center"/>
          </w:tcPr>
          <w:p w14:paraId="3991A590" w14:textId="77777777" w:rsidR="002769C2" w:rsidRDefault="00000000">
            <w:pPr>
              <w:jc w:val="left"/>
            </w:pPr>
            <w:r>
              <w:t>Energoauditors / SIA Enerģijas plūsmas dizains, Arnis Auermanis</w:t>
            </w:r>
          </w:p>
        </w:tc>
        <w:tc>
          <w:tcPr>
            <w:tcW w:w="4056" w:type="dxa"/>
            <w:shd w:val="clear" w:color="auto" w:fill="FFFFFF"/>
            <w:noWrap/>
            <w:tcMar>
              <w:top w:w="75" w:type="dxa"/>
              <w:left w:w="75" w:type="dxa"/>
              <w:bottom w:w="75" w:type="dxa"/>
              <w:right w:w="75" w:type="dxa"/>
            </w:tcMar>
            <w:vAlign w:val="center"/>
          </w:tcPr>
          <w:p w14:paraId="23895F87" w14:textId="77777777" w:rsidR="002769C2" w:rsidRDefault="00000000">
            <w:pPr>
              <w:jc w:val="left"/>
            </w:pPr>
            <w:r>
              <w:t>VIEDOKLIS PAR GROZĪJUMU PROJEKTU</w:t>
            </w:r>
            <w:r>
              <w:br/>
              <w:t>Ministru kabineta noteikumos Nr. 222</w:t>
            </w:r>
            <w:r>
              <w:br/>
              <w:t>“Ēku energoefektivitātes aprēķina metodes un ēku energosertifikācijas noteikumi”</w:t>
            </w:r>
            <w:r>
              <w:br/>
            </w:r>
            <w:r>
              <w:br/>
              <w:t>1. Vispārīgais pamatojums</w:t>
            </w:r>
            <w:r>
              <w:br/>
              <w:t xml:space="preserve">Saskaņā ar Direktīva (ES) 2024/1275 par ēku energosniegumu (EPBD pārstrādātā redakcija) ēku energosnieguma novērtējumam jābalstās uz vienotu metodiku, kur centrālais rādītājs ir primārās </w:t>
            </w:r>
            <w:r>
              <w:lastRenderedPageBreak/>
              <w:t>enerģijas patēriņš, kas ļauj integrēti novērtēt ēkas kopējo enerģētisko kvalitāti neatkarīgi no izmantotajām tehnoloģijām.</w:t>
            </w:r>
            <w:r>
              <w:br/>
              <w:t>Papildus norādāms, ka ēku energosnieguma novērtēšanai piemērojamie Eiropas standarti, tostarp EN ISO 52000-1, EN ISO 52016-1, EN 15316, EN ISO 52010-1, EN 16798-1, EN 52120-1 un EN 17423, veido vienotu metodoloģisku sistēmu, kur katrs standarts apraksta atsevišķu ēkas energoefektivitātes komponenti (ēkas apvalku, sistēmas, klimata datus, lietošanas apstākļus un vadības sistēmas), bet šo komponentu aprēķinu rezultāti tiek savstarpēji integrēti vienotā rādītājā – primārās enerģijas patēriņā. Minētie standarti ir iekļauti MK noteikumi Nr. 222 7. pielikums, kas apliecina, ka Latvijas normatīvais regulējums jau balstās uz vienotu Eiropas standartu sistēmu, kur primārā enerģija ir galvenais integrējošais rādītājs.</w:t>
            </w:r>
            <w:r>
              <w:br/>
            </w:r>
            <w:r>
              <w:lastRenderedPageBreak/>
              <w:t>Līdz ar to apkures enerģijas patēriņa izmantošana kā atsevišķs klasifikācijas kritērijs nav metodoloģiski pamatota, jo tas atspoguļo tikai vienu no enerģijas bilances posmiem un ir atkarīgs no vairākiem aprēķinu pieņēmumiem (ventilācija, iekšējie siltuma guvumi u. c.). Turklāt šāda pieeja netieši un ar zemāku precizitāti dublē būvnormatīva LBN 002-19 Ēku norobežojošo konstrukciju siltumtehnika prasības.</w:t>
            </w:r>
            <w:r>
              <w:br/>
              <w:t>Tādēļ ēku energoefektivitātes klasifikācijai jābalstās uz primārās enerģijas patēriņu kā vienīgo integrējošo rādītāju, savukārt apkures enerģijas rādītājs saglabājams kā informatīvs parametrs ēkas siltumtehniskās kvalitātes raksturošanai.</w:t>
            </w:r>
            <w:r>
              <w:br/>
            </w:r>
            <w:r>
              <w:br/>
              <w:t>2. Ierosinājumi regulējuma pilnveidei</w:t>
            </w:r>
            <w:r>
              <w:br/>
              <w:t>2.1. Par klasifikācijas kritēriju</w:t>
            </w:r>
            <w:r>
              <w:br/>
              <w:t>Noteikt, ka:</w:t>
            </w:r>
            <w:r>
              <w:br/>
              <w:t xml:space="preserve">ēkas energoefektivitātes klase tiek </w:t>
            </w:r>
            <w:r>
              <w:lastRenderedPageBreak/>
              <w:t>noteikta, balstoties tikai uz primārās enerģijas patēriņu (kWh/m² gadā).</w:t>
            </w:r>
            <w:r>
              <w:br/>
              <w:t>Vienlaikus:</w:t>
            </w:r>
            <w:r>
              <w:br/>
              <w:t>svītrot apkures enerģijas patēriņu kā klasifikācijas kritēriju;</w:t>
            </w:r>
            <w:r>
              <w:br/>
              <w:t>saglabāt to kā informatīvu rādītāju ēkas siltumtehniskās kvalitātes novērtēšanai.</w:t>
            </w:r>
            <w:r>
              <w:br/>
              <w:t>2.2. Par pārbūvētām vai atjaunotām gandrīz nulles enerģijas ēkām</w:t>
            </w:r>
            <w:r>
              <w:br/>
              <w:t>Noteikt, ka:</w:t>
            </w:r>
            <w:r>
              <w:br/>
              <w:t>gandrīz nulles enerģijas ēkas statuss piemērojams tikai ēkām, kas sasniedz vismaz šo noteikumu 3. pielikumā B klases ēkai noteikto līmeni.</w:t>
            </w:r>
            <w:r>
              <w:br/>
              <w:t>Praksē iespējama situācija, kur:</w:t>
            </w:r>
            <w:r>
              <w:br/>
              <w:t>• ēkai ir būtiski siltuma zudumi (aukstuma tilti, nepietiekama siltumizolācija) un tā atbilst, piemēram, C klases līmenim;</w:t>
            </w:r>
            <w:r>
              <w:br/>
              <w:t>• vienlaikus tiek izmantota centralizētā siltumapgāde ar biomasu vai cits energonesējs ar zemu primārās enerģijas koeficientu;</w:t>
            </w:r>
            <w:r>
              <w:br/>
            </w:r>
            <w:r>
              <w:lastRenderedPageBreak/>
              <w:t>→ rezultātā ēka var sasniegt primārās enerģijas A klasi, lai gan tās apvalka kvalitāte neatbilst augstas energoefektivitātes principiem.</w:t>
            </w:r>
            <w:r>
              <w:br/>
              <w:t>2.3. Par primārās enerģijas prasībām pārbūvētām vai atjaunotām ēkām</w:t>
            </w:r>
            <w:r>
              <w:br/>
              <w:t>Noteikt, ka:</w:t>
            </w:r>
            <w:r>
              <w:br/>
              <w:t>pārbūvējamām un atjaunojamām ēkām piemēro tādas pašas primārās enerģijas robežvērtības kā jaunbūvēm.</w:t>
            </w:r>
            <w:r>
              <w:br/>
              <w:t>Vienlaikus:</w:t>
            </w:r>
            <w:r>
              <w:br/>
              <w:t>svītrot prasību par primārās enerģijas samazinājumu procentos ( –30 %).</w:t>
            </w:r>
            <w:r>
              <w:br/>
              <w:t>Daudzos gadījumos nav pieejami ticami dati par ēkas sākotnējo enerģijas patēriņu, savukārt aprēķinātā “pirms” situācija ir atkarīga no pieņēmumiem, un Būvniecības informācijas sistēmā (BIS) nav vienotas metodikas šāda samazinājuma korektai pārbaudei, līdz ar to šāda prasība nav objektīvi verificējama.</w:t>
            </w:r>
            <w:r>
              <w:br/>
              <w:t>Papildus norādāms, ka:</w:t>
            </w:r>
            <w:r>
              <w:br/>
            </w:r>
            <w:r>
              <w:lastRenderedPageBreak/>
              <w:t>nav pieļaujama situācija, ka ēka, kurā kā galvenais energonesējs tiek izmantoti fosilie kurināmie, var tikt klasificēta kā gandrīz nulles enerģijas ēka.</w:t>
            </w:r>
            <w:r>
              <w:br/>
            </w:r>
            <w:r>
              <w:br/>
              <w:t>3. Par aprēķinu metodikas piemērošanu Būvniecības informācijas sistēmā (BIS)</w:t>
            </w:r>
            <w:r>
              <w:br/>
              <w:t>Noteikumu projektā izmantotā metodika balstās uz Eiropas standartos noteiktajiem principiem, tostarp EN ISO 52000-1:2017, kas paredz konsekventu piegādātās, uz vietas saražotās un izmantotās enerģijas uzskaiti un savstarpēju integrāciju kopējā enerģijas bilancē.</w:t>
            </w:r>
            <w:r>
              <w:br/>
              <w:t xml:space="preserve">Tomēr praksē konstatējams, ka Būvniecības informācijas sistēma (BIS) ne vienmēr nodrošina iespēju pilnvērtīgi un korekti ievadīt un atspoguļot enerģijas plūsmas atbilstoši minēto standartu prasībām. Īpaši tas attiecas uz gadījumiem, kad ēkā tiek izmantoti vairāki energonesēji, tiek integrēta uz </w:t>
            </w:r>
            <w:r>
              <w:lastRenderedPageBreak/>
              <w:t>vietas saražotā enerģija (piemēram, saules elektrostacijas), kā arī tiek izmantotas kompleksas inženiersistēmas, kur būtiska ir piegādātās un uz vietas izmantotās enerģijas savstarpējā attiecība.</w:t>
            </w:r>
            <w:r>
              <w:br/>
              <w:t>Papildus tam BIS aprēķinu loģika paredz primārās enerģijas noteikšanu, balstoties uz apkures nepieciešamās enerģijas (Qh,nd) ievadi un no tās atvasinātu piegādātās enerģijas aprēķinu, izmantojot efektivitātes koeficientus. Šāda pieeja neatbilst EN ISO 52000-1:2017 principiem, kuros piegādātā enerģija tiek noteikta, ņemot vērā faktisko sistēmu darbību, energonesēju sadalījumu un uz vietas saražotās enerģijas izmantošanu.</w:t>
            </w:r>
            <w:r>
              <w:br/>
              <w:t xml:space="preserve">Rezultātā efektivitātes koeficienti praksē tiek izmantoti kā korekcijas instruments, lai pielāgotu aprēķinu rezultātus sistēmas ierobežojumiem, nevis atspoguļotu reālo sistēmu darbību, un primārās enerģijas aprēķins tiek balstīts uz vienkāršotu </w:t>
            </w:r>
            <w:r>
              <w:lastRenderedPageBreak/>
              <w:t>aprēķina shēmu, kas var neatbilst standartiem un ietekmēt rezultātu precizitāti un savstarpējo salīdzināmību.</w:t>
            </w:r>
            <w:r>
              <w:br/>
            </w:r>
            <w:r>
              <w:br/>
              <w:t>4. Secinājums</w:t>
            </w:r>
            <w:r>
              <w:br/>
              <w:t>Ierosinātā pieeja:</w:t>
            </w:r>
            <w:r>
              <w:br/>
              <w:t>• nodrošina atbilstību Eiropas Savienības regulējumam un piemērojamajiem standartiem, kuros primārā enerģija noteikta kā galvenais ēku energosnieguma rādītājs;</w:t>
            </w:r>
            <w:r>
              <w:br/>
              <w:t>• novērš dubultu klasifikācijas sistēmu un ar to saistītās interpretācijas iespējas, atsakoties no metodoloģiski nepamatota apkures enerģijas rādītāja izmantošanas klasifikācijā;</w:t>
            </w:r>
            <w:r>
              <w:br/>
              <w:t>• nodrošina skaidru un loģisku energoefektivitātes novērtējuma struktūru, nošķirot ēkas apvalka kvalitātes prasības (saskaņā ar LBN 002-19) no kopējā energosnieguma novērtējuma;</w:t>
            </w:r>
            <w:r>
              <w:br/>
              <w:t xml:space="preserve">• nodrošina konsekventu, savstarpēji salīdzināmu un tehnoloģiski neitrālu pieeju ēku </w:t>
            </w:r>
            <w:r>
              <w:lastRenderedPageBreak/>
              <w:t>energoefektivitātes klasifikācijai visiem ēku tipiem;</w:t>
            </w:r>
            <w:r>
              <w:br/>
              <w:t>• atklāj neatbilstības starp Eiropas standartos noteikto enerģijas bilances metodiku un tās praktisko piemērošanu Būvniecības informācijas sistēmā, kas ierobežo iespēju pilnvērtīgi un korekti atspoguļot piegādātās enerģijas struktūru un var ietekmēt aprēķinu rezultātu precizitāti un salīdzināmību.</w:t>
            </w:r>
            <w:r>
              <w:br/>
              <w:t xml:space="preserve">Vienlaikus no praktiskās pieredzes secināms, ka primārās enerģijas prasību piemērošana pārbūvējamām un atjaunojamām ēkām pati par sevi nav kritiskais faktors, kas ierobežotu ēku spēju sasniegt augstas energoefektivitātes klases, jo, integrējot atjaunojamos energoresursus, ēkas bieži sasniedz arī A vai A+ klasi. Līdz ar to regulējuma mērķim jābūt nevis atvieglot klasifikācijas sasniegšanu, bet nodrošināt metodoloģiski pamatotu, vienotu un praksē piemērojamu </w:t>
            </w:r>
            <w:r>
              <w:lastRenderedPageBreak/>
              <w:t>novērtēšanas sistēmu.</w:t>
            </w:r>
            <w:r>
              <w:br/>
            </w:r>
            <w:r>
              <w:br/>
              <w:t>[Arnis Auermanis]</w:t>
            </w:r>
            <w:r>
              <w:br/>
              <w:t>[Energoauditors / SIA Enerģijas plūsmas dizains]</w:t>
            </w:r>
            <w:r>
              <w:br/>
              <w:t>[10.04.2026]</w:t>
            </w:r>
            <w:r>
              <w:br/>
            </w:r>
          </w:p>
        </w:tc>
        <w:tc>
          <w:tcPr>
            <w:tcW w:w="1650" w:type="dxa"/>
            <w:shd w:val="clear" w:color="auto" w:fill="FFFFFF"/>
            <w:noWrap/>
            <w:tcMar>
              <w:top w:w="75" w:type="dxa"/>
              <w:left w:w="75" w:type="dxa"/>
              <w:bottom w:w="75" w:type="dxa"/>
              <w:right w:w="75" w:type="dxa"/>
            </w:tcMar>
            <w:vAlign w:val="center"/>
          </w:tcPr>
          <w:p w14:paraId="68228C31" w14:textId="77777777" w:rsidR="002769C2" w:rsidRDefault="002769C2">
            <w:pPr>
              <w:jc w:val="left"/>
            </w:pPr>
          </w:p>
        </w:tc>
        <w:tc>
          <w:tcPr>
            <w:tcW w:w="4056" w:type="dxa"/>
            <w:shd w:val="clear" w:color="auto" w:fill="FFFFFF"/>
            <w:noWrap/>
            <w:tcMar>
              <w:top w:w="75" w:type="dxa"/>
              <w:left w:w="75" w:type="dxa"/>
              <w:bottom w:w="75" w:type="dxa"/>
              <w:right w:w="75" w:type="dxa"/>
            </w:tcMar>
            <w:vAlign w:val="center"/>
          </w:tcPr>
          <w:p w14:paraId="3F8CE28D" w14:textId="77777777" w:rsidR="002769C2" w:rsidRDefault="003C6144">
            <w:pPr>
              <w:jc w:val="left"/>
            </w:pPr>
            <w:r>
              <w:t>1.Iebildums nav ņemts vērā</w:t>
            </w:r>
          </w:p>
          <w:p w14:paraId="180A2F9B" w14:textId="77777777" w:rsidR="003C6144" w:rsidRDefault="003C6144" w:rsidP="003C6144">
            <w:r w:rsidRPr="003C6144">
              <w:t>Ekonomikas ministrija šobrīd neplāno veikt izmaiņas Noteikumos attiecībā uz pāreju uz ēku energosnieguma novērtējumu pēc kopējās primārās enerģijas.</w:t>
            </w:r>
            <w:r w:rsidRPr="003C6144">
              <w:br/>
              <w:t>Vēršam uzmanību, ka Direktīva (ES) 2024/1275 19. panta 2. punkta trešā daļa skaidri nosaka, ka dalībvalstis, kuras savu energosnieguma klašu skalu ir nomainījušas laikā no 2019. gada 1. janvāra līdz 2024. gada 28. maijai, var atlikt energosnieguma klašu skalas nomaiņu līdz 2029. gada 31. decembrim.</w:t>
            </w:r>
            <w:r w:rsidRPr="003C6144">
              <w:br/>
            </w:r>
            <w:r w:rsidRPr="003C6144">
              <w:lastRenderedPageBreak/>
              <w:t>Ņemot vērā, ka Latvija atbilst minētajam nosacījumam, Ekonomikas ministrija šobrīd neplāno mainīt energosnieguma klašu skalu un neveiks pāreju uz ēku energosnieguma novērtējumu, kas balstīts uz kopējo primārās enerģijas patēriņu.</w:t>
            </w:r>
            <w:r w:rsidRPr="003C6144">
              <w:br/>
              <w:t>Attiecīgi pāreja uz direktīvā noteikto pieeju tiks nodrošināta līdz tajā noteiktajam termiņam – 2029. gada 31. decembrim, savukārt līdz tam saglabājams esošais regulējums, nodrošinot normatīvā regulējuma stabilitāti un prognozējamību nozares dalībniekiem.</w:t>
            </w:r>
          </w:p>
          <w:p w14:paraId="4439D75F" w14:textId="77777777" w:rsidR="00E40710" w:rsidRDefault="00E40710" w:rsidP="003C6144"/>
          <w:p w14:paraId="275FDB1C" w14:textId="239BC543" w:rsidR="00E40710" w:rsidRDefault="00E40710" w:rsidP="003C6144">
            <w:r>
              <w:t xml:space="preserve">Attiecībā uz 2. priekšlikumu </w:t>
            </w:r>
            <w:r>
              <w:t>Noteikumu projekts ir</w:t>
            </w:r>
            <w:r w:rsidRPr="003C6144">
              <w:t xml:space="preserve"> precizēts, paredzot skaidri piemērojamu prasību — lai ēku pēc atjaunošanas varētu uzskatīt par gandrīz nulles enerģijas ēku, tai jāsasniedz vismaz </w:t>
            </w:r>
            <w:r w:rsidRPr="003C6144">
              <w:rPr>
                <w:b/>
                <w:bCs/>
              </w:rPr>
              <w:t xml:space="preserve">C </w:t>
            </w:r>
            <w:r>
              <w:rPr>
                <w:b/>
                <w:bCs/>
              </w:rPr>
              <w:t>klase attiecībā uz primāros neatjaunojamo enerģiju</w:t>
            </w:r>
            <w:r w:rsidRPr="003C6144">
              <w:t xml:space="preserve">. Tādējādi prasība netiks balstīta uz procentuālu ietaupījumu </w:t>
            </w:r>
            <w:r w:rsidRPr="003C6144">
              <w:lastRenderedPageBreak/>
              <w:t>salīdzinājumā ar stāvokli pirms atjaunošanas, bet uz sasniegto energosnieguma līmeni.</w:t>
            </w:r>
          </w:p>
          <w:p w14:paraId="419F3620" w14:textId="77777777" w:rsidR="003C6144" w:rsidRDefault="003C6144" w:rsidP="003C6144"/>
          <w:p w14:paraId="27522504" w14:textId="114D97D5" w:rsidR="00E40710" w:rsidRDefault="00E40710" w:rsidP="003C6144">
            <w:r>
              <w:t xml:space="preserve">Attiecībā uz 3. priekšlikumu norādām, ka </w:t>
            </w:r>
            <w:r w:rsidRPr="00E40710">
              <w:t>nav norādīts konkrēts Noteikumu projekta regulējums, kas būtu precizējams, kā arī nav sniegts konkrēts priekšlikums normatīvā regulējuma grozījumiem. Būvniecības informācijas sistēma ir tehnisks instruments energosnieguma aprēķinu ievadei un apstrādei, savukārt aprēķinu veikšana ir neatkarīga eksperta atbildība atbilstoši normatīvajos aktos noteiktajai metodikai.</w:t>
            </w:r>
          </w:p>
          <w:p w14:paraId="10691EF4" w14:textId="57C7E7A3" w:rsidR="003C6144" w:rsidRDefault="003C6144" w:rsidP="003C6144"/>
        </w:tc>
      </w:tr>
      <w:tr w:rsidR="002769C2" w14:paraId="6EE8F118" w14:textId="77777777">
        <w:tc>
          <w:tcPr>
            <w:tcW w:w="750" w:type="dxa"/>
            <w:shd w:val="clear" w:color="auto" w:fill="FFFFFF"/>
            <w:noWrap/>
            <w:tcMar>
              <w:top w:w="75" w:type="dxa"/>
              <w:left w:w="75" w:type="dxa"/>
              <w:bottom w:w="75" w:type="dxa"/>
              <w:right w:w="75" w:type="dxa"/>
            </w:tcMar>
            <w:vAlign w:val="center"/>
          </w:tcPr>
          <w:p w14:paraId="2A47E362" w14:textId="77777777" w:rsidR="002769C2" w:rsidRDefault="00000000">
            <w:pPr>
              <w:jc w:val="center"/>
            </w:pPr>
            <w:r>
              <w:lastRenderedPageBreak/>
              <w:t>2.</w:t>
            </w:r>
          </w:p>
        </w:tc>
        <w:tc>
          <w:tcPr>
            <w:tcW w:w="4055" w:type="dxa"/>
            <w:shd w:val="clear" w:color="auto" w:fill="FFFFFF"/>
            <w:noWrap/>
            <w:tcMar>
              <w:top w:w="75" w:type="dxa"/>
              <w:left w:w="75" w:type="dxa"/>
              <w:bottom w:w="75" w:type="dxa"/>
              <w:right w:w="75" w:type="dxa"/>
            </w:tcMar>
            <w:vAlign w:val="center"/>
          </w:tcPr>
          <w:p w14:paraId="22EAFEA5" w14:textId="77777777" w:rsidR="002769C2" w:rsidRDefault="00000000">
            <w:pPr>
              <w:jc w:val="left"/>
            </w:pPr>
            <w:r>
              <w:t>Fiziska persona</w:t>
            </w:r>
          </w:p>
        </w:tc>
        <w:tc>
          <w:tcPr>
            <w:tcW w:w="4056" w:type="dxa"/>
            <w:shd w:val="clear" w:color="auto" w:fill="FFFFFF"/>
            <w:noWrap/>
            <w:tcMar>
              <w:top w:w="75" w:type="dxa"/>
              <w:left w:w="75" w:type="dxa"/>
              <w:bottom w:w="75" w:type="dxa"/>
              <w:right w:w="75" w:type="dxa"/>
            </w:tcMar>
            <w:vAlign w:val="center"/>
          </w:tcPr>
          <w:p w14:paraId="2C37C3D4" w14:textId="77777777" w:rsidR="002769C2" w:rsidRDefault="00000000">
            <w:pPr>
              <w:jc w:val="left"/>
            </w:pPr>
            <w:r>
              <w:rPr>
                <w:b/>
              </w:rPr>
              <w:t>Iebildums:</w:t>
            </w:r>
            <w:r>
              <w:br/>
              <w:t>Gandrīz nulles enerģijas ēkas definējuma redakcija neatbilst direktīvā noteiktajai definīcijai:</w:t>
            </w:r>
            <w:r>
              <w:br/>
              <w:t xml:space="preserve">“gandrīz nulles enerģijas ēka” ir ēka </w:t>
            </w:r>
            <w:r>
              <w:rPr>
                <w:u w:val="single"/>
              </w:rPr>
              <w:t>ar ļoti augstu energosniegumu</w:t>
            </w:r>
            <w:r>
              <w:t xml:space="preserve">, ko nosaka saskaņā ar I pielikumu, un tas nevar būt zemāks par 2023. gada izmaksoptimālo līmeni, ko dalībvalstis ziņojušas, ievērojot 6. panta 2. punktu, un </w:t>
            </w:r>
            <w:r>
              <w:rPr>
                <w:u w:val="single"/>
              </w:rPr>
              <w:t>turklāt gandrīz nulles vai ļoti maza daudzuma vajadzīgo enerģiju ļoti lielā mērā sedz ar atjaunīgo energoresursu enerģiju</w:t>
            </w:r>
            <w:r>
              <w:t>, tostarp objektā uz vietas vai tuvumā ražotu atjaunīgo energoresursu enerģiju.</w:t>
            </w:r>
            <w:r>
              <w:br/>
            </w:r>
            <w:r>
              <w:rPr>
                <w:b/>
              </w:rPr>
              <w:t>Priekšlikums</w:t>
            </w:r>
            <w:r>
              <w:t>:</w:t>
            </w:r>
            <w:r>
              <w:br/>
              <w:t xml:space="preserve">Izvirzīt prasības atbilstoši </w:t>
            </w:r>
            <w:r>
              <w:lastRenderedPageBreak/>
              <w:t>direktīvā noteiktajai GNEĒ definīcijai. “C” klase neatbilst ļoti augstam energosniegumam. Direktīvas prasība par atjaunīgo enerģiju nav ievērota.</w:t>
            </w:r>
            <w:r>
              <w:br/>
            </w:r>
            <w:r>
              <w:br/>
            </w:r>
            <w:r>
              <w:rPr>
                <w:b/>
              </w:rPr>
              <w:t>Iebildums:</w:t>
            </w:r>
            <w:r>
              <w:br/>
              <w:t>Prasība sasniegt 30% ietaupījumu primārajai enerģijai var rast vairāk jautājumus energoauditoriem nekā skaidrību, kā to piemērot. Jo tas ir ļoti nekonkrēts risinājums. Tas izslēdz iespēju kļūt par GNEĒ ēkām, kuras jau tika labi apsaimniekotas, iepriekš daļēji veica energoefektivitātes pasākumus, un sasnieguši D klasi (piemēram). Tad 30% ietaupīt vēl, lai sasniegtu GNEĒ, diezvai viņiem sanāks, savukārt citai ēkai, kura slikti tika apsaimniekota un no G klases pārejot uz D klasi, kļūs par GNEĒ.</w:t>
            </w:r>
            <w:r>
              <w:br/>
            </w:r>
            <w:r>
              <w:rPr>
                <w:b/>
              </w:rPr>
              <w:t>Priekšlikums</w:t>
            </w:r>
            <w:r>
              <w:t>:</w:t>
            </w:r>
            <w:r>
              <w:br/>
              <w:t xml:space="preserve">Izvirzīt prasības, kas būtu viegli un skaidri piemērojamas atkarībā no esošā (izmērītā vai aprēķinātā) energoefektivitātes novērtējuma, </w:t>
            </w:r>
            <w:r>
              <w:lastRenderedPageBreak/>
              <w:t>nerēķinot ietaupījumu vai nesalīdzinot ar stāvokli pirms renovācijas.</w:t>
            </w:r>
            <w:r>
              <w:br/>
            </w:r>
            <w:r>
              <w:br/>
            </w:r>
            <w:r>
              <w:rPr>
                <w:b/>
              </w:rPr>
              <w:t>Priekšlikums GNEĒ definīcijai:</w:t>
            </w:r>
            <w:r>
              <w:br/>
              <w:t>Pārbūvēta vai atjaunota esoša ēka klasificējama kā gandrīz nulles enerģijas ēka, ja tā atbilst visām šādām prasībām:</w:t>
            </w:r>
            <w:r>
              <w:br/>
              <w:t>1) ēkas enerģijas patēriņš apkurei nepārsniedz šo noteikumu 3. pielikumā norādīto līmeni B klases ēkai;</w:t>
            </w:r>
            <w:r>
              <w:br/>
              <w:t>2) ēkas kopējais primārās enerģijas patēriņš nepārsniedz šo noteikumu 3. pielikumā norādīto līmeni B klases ēkai;</w:t>
            </w:r>
            <w:r>
              <w:br/>
              <w:t>3) 30% no energoresursiem veido atjaunīga enerģija.</w:t>
            </w:r>
            <w:r>
              <w:br/>
            </w:r>
          </w:p>
        </w:tc>
        <w:tc>
          <w:tcPr>
            <w:tcW w:w="1650" w:type="dxa"/>
            <w:shd w:val="clear" w:color="auto" w:fill="FFFFFF"/>
            <w:noWrap/>
            <w:tcMar>
              <w:top w:w="75" w:type="dxa"/>
              <w:left w:w="75" w:type="dxa"/>
              <w:bottom w:w="75" w:type="dxa"/>
              <w:right w:w="75" w:type="dxa"/>
            </w:tcMar>
            <w:vAlign w:val="center"/>
          </w:tcPr>
          <w:p w14:paraId="72606538" w14:textId="77777777" w:rsidR="002769C2" w:rsidRDefault="002769C2">
            <w:pPr>
              <w:jc w:val="left"/>
            </w:pPr>
          </w:p>
        </w:tc>
        <w:tc>
          <w:tcPr>
            <w:tcW w:w="4056" w:type="dxa"/>
            <w:shd w:val="clear" w:color="auto" w:fill="FFFFFF"/>
            <w:noWrap/>
            <w:tcMar>
              <w:top w:w="75" w:type="dxa"/>
              <w:left w:w="75" w:type="dxa"/>
              <w:bottom w:w="75" w:type="dxa"/>
              <w:right w:w="75" w:type="dxa"/>
            </w:tcMar>
            <w:vAlign w:val="center"/>
          </w:tcPr>
          <w:p w14:paraId="4872C11D" w14:textId="62C8BAE9" w:rsidR="003C6144" w:rsidRPr="003C6144" w:rsidRDefault="003C6144" w:rsidP="003C6144">
            <w:r>
              <w:t xml:space="preserve">1. </w:t>
            </w:r>
            <w:r w:rsidRPr="003C6144">
              <w:t>Iebildums netiek ņemts vērā.</w:t>
            </w:r>
          </w:p>
          <w:p w14:paraId="75674C4D" w14:textId="77777777" w:rsidR="003C6144" w:rsidRPr="003C6144" w:rsidRDefault="003C6144" w:rsidP="003C6144">
            <w:r w:rsidRPr="003C6144">
              <w:t xml:space="preserve">Direktīva paredz, ka gandrīz nulles enerģijas ēkas prasības nevar būt zemākas par 2023. gada izmaksoptimālo līmeni. Latvijā </w:t>
            </w:r>
            <w:r w:rsidRPr="003C6144">
              <w:rPr>
                <w:b/>
                <w:bCs/>
              </w:rPr>
              <w:t>C klase atbilst izmaksoptimālajam līmenim</w:t>
            </w:r>
            <w:r w:rsidRPr="003C6144">
              <w:t>, līdz ar to noteiktais prasību līmenis atbilst Direktīvas prasībām.</w:t>
            </w:r>
          </w:p>
          <w:p w14:paraId="16E70CDA" w14:textId="77777777" w:rsidR="003C6144" w:rsidRPr="003C6144" w:rsidRDefault="003C6144" w:rsidP="003C6144">
            <w:r w:rsidRPr="003C6144">
              <w:t>Papildus norādām, ka prasības attiecībā uz atjaunīgo energoresursu izmantošanu tiek nodrošinātas ar regulējumā noteikto primārās neatjaunojamās enerģijas patēriņa ierobežojumu.</w:t>
            </w:r>
          </w:p>
          <w:p w14:paraId="4C91D2AA" w14:textId="77777777" w:rsidR="002769C2" w:rsidRDefault="002769C2">
            <w:pPr>
              <w:jc w:val="left"/>
            </w:pPr>
          </w:p>
          <w:p w14:paraId="771800F0" w14:textId="2A208005" w:rsidR="003C6144" w:rsidRDefault="003C6144" w:rsidP="003C6144">
            <w:r>
              <w:t>2.Iebildums tiek ņemts vērā</w:t>
            </w:r>
            <w:r>
              <w:br/>
              <w:t>Noteikumu projekts ir</w:t>
            </w:r>
            <w:r w:rsidRPr="003C6144">
              <w:t xml:space="preserve"> precizēts, paredzot skaidri piemērojamu prasību — lai ēku pēc atjaunošanas </w:t>
            </w:r>
            <w:r w:rsidRPr="003C6144">
              <w:lastRenderedPageBreak/>
              <w:t xml:space="preserve">varētu uzskatīt par gandrīz nulles enerģijas ēku, tai jāsasniedz vismaz </w:t>
            </w:r>
            <w:r w:rsidRPr="003C6144">
              <w:rPr>
                <w:b/>
                <w:bCs/>
              </w:rPr>
              <w:t xml:space="preserve">C </w:t>
            </w:r>
            <w:r>
              <w:rPr>
                <w:b/>
                <w:bCs/>
              </w:rPr>
              <w:t>klase attiecībā uz primāros neatjaunojamo enerģiju</w:t>
            </w:r>
            <w:r w:rsidRPr="003C6144">
              <w:t>. Tādējādi prasība netiks balstīta uz procentuālu ietaupījumu salīdzinājumā ar stāvokli pirms atjaunošanas, bet uz sasniegto energosnieguma līmeni.</w:t>
            </w:r>
          </w:p>
        </w:tc>
      </w:tr>
    </w:tbl>
    <w:p w14:paraId="797613EF" w14:textId="77777777" w:rsidR="002769C2" w:rsidRDefault="002769C2"/>
    <w:tbl>
      <w:tblPr>
        <w:tblStyle w:val="a"/>
        <w:tblW w:w="14567" w:type="dxa"/>
        <w:tblLayout w:type="fixed"/>
        <w:tblLook w:val="0600" w:firstRow="0" w:lastRow="0" w:firstColumn="0" w:lastColumn="0" w:noHBand="1" w:noVBand="1"/>
      </w:tblPr>
      <w:tblGrid>
        <w:gridCol w:w="4855"/>
        <w:gridCol w:w="4856"/>
        <w:gridCol w:w="4856"/>
      </w:tblGrid>
      <w:tr w:rsidR="002769C2" w14:paraId="61540A0D" w14:textId="77777777">
        <w:tc>
          <w:tcPr>
            <w:tcW w:w="4855" w:type="dxa"/>
            <w:shd w:val="clear" w:color="auto" w:fill="FFFFFF"/>
            <w:noWrap/>
            <w:tcMar>
              <w:top w:w="75" w:type="dxa"/>
              <w:left w:w="75" w:type="dxa"/>
              <w:bottom w:w="75" w:type="dxa"/>
              <w:right w:w="75" w:type="dxa"/>
            </w:tcMar>
            <w:vAlign w:val="center"/>
          </w:tcPr>
          <w:p w14:paraId="41E7BF85" w14:textId="77777777" w:rsidR="002769C2" w:rsidRDefault="00000000">
            <w:pPr>
              <w:jc w:val="left"/>
            </w:pPr>
            <w:r>
              <w:t>Datums**</w:t>
            </w:r>
          </w:p>
        </w:tc>
        <w:tc>
          <w:tcPr>
            <w:tcW w:w="4856" w:type="dxa"/>
            <w:shd w:val="clear" w:color="auto" w:fill="FFFFFF"/>
            <w:noWrap/>
            <w:tcMar>
              <w:top w:w="75" w:type="dxa"/>
              <w:left w:w="75" w:type="dxa"/>
              <w:bottom w:w="75" w:type="dxa"/>
              <w:right w:w="75" w:type="dxa"/>
            </w:tcMar>
            <w:vAlign w:val="center"/>
          </w:tcPr>
          <w:p w14:paraId="72AB295B" w14:textId="0BCC819B" w:rsidR="00561652" w:rsidRDefault="00561652">
            <w:pPr>
              <w:pBdr>
                <w:bottom w:val="single" w:sz="10" w:space="1" w:color="000000"/>
              </w:pBdr>
            </w:pPr>
            <w:r>
              <w:t>12.05.2026.</w:t>
            </w:r>
          </w:p>
        </w:tc>
        <w:tc>
          <w:tcPr>
            <w:tcW w:w="4856" w:type="dxa"/>
            <w:shd w:val="clear" w:color="auto" w:fill="FFFFFF"/>
            <w:noWrap/>
            <w:tcMar>
              <w:top w:w="75" w:type="dxa"/>
              <w:left w:w="75" w:type="dxa"/>
              <w:bottom w:w="75" w:type="dxa"/>
              <w:right w:w="75" w:type="dxa"/>
            </w:tcMar>
            <w:vAlign w:val="center"/>
          </w:tcPr>
          <w:p w14:paraId="2B5E724F" w14:textId="77777777" w:rsidR="002769C2" w:rsidRDefault="002769C2"/>
        </w:tc>
      </w:tr>
      <w:tr w:rsidR="002769C2" w14:paraId="40B54A0E" w14:textId="77777777">
        <w:tc>
          <w:tcPr>
            <w:tcW w:w="4855" w:type="dxa"/>
            <w:shd w:val="clear" w:color="auto" w:fill="FFFFFF"/>
            <w:noWrap/>
            <w:tcMar>
              <w:top w:w="75" w:type="dxa"/>
              <w:left w:w="75" w:type="dxa"/>
              <w:bottom w:w="75" w:type="dxa"/>
              <w:right w:w="75" w:type="dxa"/>
            </w:tcMar>
            <w:vAlign w:val="center"/>
          </w:tcPr>
          <w:p w14:paraId="70128E41" w14:textId="77777777" w:rsidR="002769C2" w:rsidRDefault="002769C2"/>
        </w:tc>
        <w:tc>
          <w:tcPr>
            <w:tcW w:w="4856" w:type="dxa"/>
            <w:shd w:val="clear" w:color="auto" w:fill="FFFFFF"/>
            <w:noWrap/>
            <w:tcMar>
              <w:top w:w="75" w:type="dxa"/>
              <w:left w:w="75" w:type="dxa"/>
              <w:bottom w:w="75" w:type="dxa"/>
              <w:right w:w="75" w:type="dxa"/>
            </w:tcMar>
            <w:vAlign w:val="center"/>
          </w:tcPr>
          <w:p w14:paraId="12E84548" w14:textId="77777777" w:rsidR="002769C2" w:rsidRDefault="00000000">
            <w:pPr>
              <w:jc w:val="center"/>
            </w:pPr>
            <w:r>
              <w:t>(dd.mm.gggg)</w:t>
            </w:r>
          </w:p>
        </w:tc>
        <w:tc>
          <w:tcPr>
            <w:tcW w:w="4856" w:type="dxa"/>
            <w:shd w:val="clear" w:color="auto" w:fill="FFFFFF"/>
            <w:noWrap/>
            <w:tcMar>
              <w:top w:w="75" w:type="dxa"/>
              <w:left w:w="75" w:type="dxa"/>
              <w:bottom w:w="75" w:type="dxa"/>
              <w:right w:w="75" w:type="dxa"/>
            </w:tcMar>
            <w:vAlign w:val="center"/>
          </w:tcPr>
          <w:p w14:paraId="73B6A3C2" w14:textId="77777777" w:rsidR="002769C2" w:rsidRDefault="002769C2"/>
        </w:tc>
      </w:tr>
      <w:tr w:rsidR="002769C2" w14:paraId="62DEAC99" w14:textId="77777777">
        <w:tc>
          <w:tcPr>
            <w:tcW w:w="4855" w:type="dxa"/>
            <w:shd w:val="clear" w:color="auto" w:fill="FFFFFF"/>
            <w:noWrap/>
            <w:tcMar>
              <w:top w:w="75" w:type="dxa"/>
              <w:left w:w="75" w:type="dxa"/>
              <w:bottom w:w="75" w:type="dxa"/>
              <w:right w:w="75" w:type="dxa"/>
            </w:tcMar>
            <w:vAlign w:val="center"/>
          </w:tcPr>
          <w:p w14:paraId="05E6C93D" w14:textId="77777777" w:rsidR="002769C2" w:rsidRDefault="00000000">
            <w:pPr>
              <w:jc w:val="left"/>
            </w:pPr>
            <w:r>
              <w:t>Atbildīgā persona</w:t>
            </w:r>
          </w:p>
        </w:tc>
        <w:tc>
          <w:tcPr>
            <w:tcW w:w="4856" w:type="dxa"/>
            <w:shd w:val="clear" w:color="auto" w:fill="FFFFFF"/>
            <w:noWrap/>
            <w:tcMar>
              <w:top w:w="75" w:type="dxa"/>
              <w:left w:w="75" w:type="dxa"/>
              <w:bottom w:w="75" w:type="dxa"/>
              <w:right w:w="75" w:type="dxa"/>
            </w:tcMar>
            <w:vAlign w:val="center"/>
          </w:tcPr>
          <w:p w14:paraId="01C2EDF3" w14:textId="2C63D143" w:rsidR="002769C2" w:rsidRDefault="00561652">
            <w:pPr>
              <w:pBdr>
                <w:bottom w:val="single" w:sz="10" w:space="1" w:color="000000"/>
              </w:pBdr>
            </w:pPr>
            <w:r>
              <w:t>Gusts Sproģis</w:t>
            </w:r>
          </w:p>
        </w:tc>
        <w:tc>
          <w:tcPr>
            <w:tcW w:w="4856" w:type="dxa"/>
            <w:shd w:val="clear" w:color="auto" w:fill="FFFFFF"/>
            <w:noWrap/>
            <w:tcMar>
              <w:top w:w="75" w:type="dxa"/>
              <w:left w:w="75" w:type="dxa"/>
              <w:bottom w:w="75" w:type="dxa"/>
              <w:right w:w="75" w:type="dxa"/>
            </w:tcMar>
            <w:vAlign w:val="center"/>
          </w:tcPr>
          <w:p w14:paraId="2E2F2D04" w14:textId="77777777" w:rsidR="002769C2" w:rsidRDefault="002769C2"/>
        </w:tc>
      </w:tr>
      <w:tr w:rsidR="002769C2" w14:paraId="340B9618" w14:textId="77777777">
        <w:tc>
          <w:tcPr>
            <w:tcW w:w="4855" w:type="dxa"/>
            <w:shd w:val="clear" w:color="auto" w:fill="FFFFFF"/>
            <w:noWrap/>
            <w:tcMar>
              <w:top w:w="75" w:type="dxa"/>
              <w:left w:w="75" w:type="dxa"/>
              <w:bottom w:w="75" w:type="dxa"/>
              <w:right w:w="75" w:type="dxa"/>
            </w:tcMar>
            <w:vAlign w:val="center"/>
          </w:tcPr>
          <w:p w14:paraId="139058A1" w14:textId="77777777" w:rsidR="002769C2" w:rsidRDefault="002769C2"/>
        </w:tc>
        <w:tc>
          <w:tcPr>
            <w:tcW w:w="4856" w:type="dxa"/>
            <w:shd w:val="clear" w:color="auto" w:fill="FFFFFF"/>
            <w:noWrap/>
            <w:tcMar>
              <w:top w:w="75" w:type="dxa"/>
              <w:left w:w="75" w:type="dxa"/>
              <w:bottom w:w="75" w:type="dxa"/>
              <w:right w:w="75" w:type="dxa"/>
            </w:tcMar>
            <w:vAlign w:val="center"/>
          </w:tcPr>
          <w:p w14:paraId="23A4D34F" w14:textId="77777777" w:rsidR="002769C2" w:rsidRDefault="00000000">
            <w:pPr>
              <w:jc w:val="center"/>
            </w:pPr>
            <w:r>
              <w:t>(vārds, uzvārds, paraksts**)</w:t>
            </w:r>
          </w:p>
        </w:tc>
        <w:tc>
          <w:tcPr>
            <w:tcW w:w="4856" w:type="dxa"/>
            <w:shd w:val="clear" w:color="auto" w:fill="FFFFFF"/>
            <w:noWrap/>
            <w:tcMar>
              <w:top w:w="75" w:type="dxa"/>
              <w:left w:w="75" w:type="dxa"/>
              <w:bottom w:w="75" w:type="dxa"/>
              <w:right w:w="75" w:type="dxa"/>
            </w:tcMar>
            <w:vAlign w:val="center"/>
          </w:tcPr>
          <w:p w14:paraId="054B47BB" w14:textId="77777777" w:rsidR="002769C2" w:rsidRDefault="002769C2"/>
        </w:tc>
      </w:tr>
    </w:tbl>
    <w:p w14:paraId="3B89E34C" w14:textId="77777777" w:rsidR="002769C2" w:rsidRDefault="002769C2"/>
    <w:p w14:paraId="33E1A683" w14:textId="77777777" w:rsidR="002769C2" w:rsidRDefault="00000000">
      <w:r>
        <w:t>Piezīmes.</w:t>
      </w:r>
    </w:p>
    <w:p w14:paraId="72BDC980" w14:textId="77777777" w:rsidR="002769C2" w:rsidRDefault="00000000">
      <w:r>
        <w:t>* Iesniedzējs (fiziskai personai – vārds, uzvārds, juridiskai personai – nosaukums) var tikt publiskots, ja viņš tam ir piekritis. Ja attiecināms, iesniedzējs norāda interešu pārstāvja reģistrācijas numuru.</w:t>
      </w:r>
    </w:p>
    <w:p w14:paraId="75E83280" w14:textId="77777777" w:rsidR="002769C2" w:rsidRDefault="00000000">
      <w:r>
        <w:t>** Dokumenta rekvizītus "datums" un "paraksts" neaizpilda, ja elektroniskais dokuments ir sagatavots atbilstoši normatīvajiem aktiem par elektronisko dokumentu noformēšanu.</w:t>
      </w:r>
    </w:p>
    <w:sectPr w:rsidR="002769C2">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718B9" w14:textId="77777777" w:rsidR="006F2B46" w:rsidRDefault="006F2B46">
      <w:r>
        <w:separator/>
      </w:r>
    </w:p>
  </w:endnote>
  <w:endnote w:type="continuationSeparator" w:id="0">
    <w:p w14:paraId="1446E887" w14:textId="77777777" w:rsidR="006F2B46" w:rsidRDefault="006F2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95B8B" w14:textId="77777777" w:rsidR="002769C2" w:rsidRDefault="00000000">
    <w:pPr>
      <w:jc w:val="right"/>
    </w:pPr>
    <w:r>
      <w:rPr>
        <w:sz w:val="24"/>
        <w:szCs w:val="24"/>
      </w:rPr>
      <w:fldChar w:fldCharType="begin"/>
    </w:r>
    <w:r>
      <w:rPr>
        <w:sz w:val="24"/>
        <w:szCs w:val="24"/>
      </w:rPr>
      <w:instrText>PAGE</w:instrText>
    </w:r>
    <w:r w:rsidR="003C6144">
      <w:rPr>
        <w:sz w:val="24"/>
        <w:szCs w:val="24"/>
      </w:rPr>
      <w:fldChar w:fldCharType="separate"/>
    </w:r>
    <w:r w:rsidR="003C6144">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70FFB"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ACA71" w14:textId="77777777" w:rsidR="006F2B46" w:rsidRDefault="006F2B46">
      <w:r>
        <w:separator/>
      </w:r>
    </w:p>
  </w:footnote>
  <w:footnote w:type="continuationSeparator" w:id="0">
    <w:p w14:paraId="5DD325AB" w14:textId="77777777" w:rsidR="006F2B46" w:rsidRDefault="006F2B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A5DB6" w14:textId="77777777" w:rsidR="002769C2" w:rsidRDefault="00000000">
    <w:pPr>
      <w:pStyle w:val="Header"/>
      <w:contextualSpacing w:val="0"/>
    </w:pPr>
    <w:r>
      <w:t>Viedokļu pārskats 25-TA-2785</w:t>
    </w:r>
    <w:r>
      <w:br/>
      <w:t>Izdrukāts 12.05.2026. 11.09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2DF5B" w14:textId="77777777" w:rsidR="002769C2" w:rsidRDefault="00000000">
    <w:pPr>
      <w:pStyle w:val="Header"/>
      <w:contextualSpacing w:val="0"/>
    </w:pPr>
    <w:r>
      <w:t>Viedokļu pārskats 25-TA-2785</w:t>
    </w:r>
    <w:r>
      <w:br/>
      <w:t>Izdrukāts 12.05.2026. 11.09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9C2"/>
    <w:rsid w:val="002769C2"/>
    <w:rsid w:val="003C6144"/>
    <w:rsid w:val="00513BCF"/>
    <w:rsid w:val="00561652"/>
    <w:rsid w:val="006F2B46"/>
    <w:rsid w:val="00E40710"/>
    <w:rsid w:val="00EE53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8DDC6"/>
  <w15:docId w15:val="{EE104CF9-C8FC-469C-B9E8-ABC66E407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3C61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7911</Words>
  <Characters>4510</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viedoklu_parskats_25-TA-2785.docx</vt:lpstr>
    </vt:vector>
  </TitlesOfParts>
  <Company/>
  <LinksUpToDate>false</LinksUpToDate>
  <CharactersWithSpaces>12397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viedoklu_parskats_25-TA-2785.docx</dc:title>
  <dc:creator>Gusts Sproģis</dc:creator>
  <cp:lastModifiedBy>Gusts Sproģis</cp:lastModifiedBy>
  <cp:revision>3</cp:revision>
  <dcterms:created xsi:type="dcterms:W3CDTF">2026-05-12T13:31:00Z</dcterms:created>
  <dcterms:modified xsi:type="dcterms:W3CDTF">2026-05-12T13:31:00Z</dcterms:modified>
</cp:coreProperties>
</file>