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BB0D5E4" w14:textId="6B8625D6" w:rsidR="007D7D28" w:rsidRDefault="002C51CD">
      <w:pPr>
        <w:spacing w:after="240"/>
        <w:jc w:val="center"/>
        <w:rPr>
          <w:b/>
        </w:rPr>
      </w:pPr>
      <w:r>
        <w:rPr>
          <w:b/>
        </w:rPr>
        <w:t>“Publiskās apspriešanas laikā 05.11.2024. - 19.11.2024. saņemto viedokļu, priekšlikumu un iebildumu apkopojums par Latvijas Atveseļošanas un noturības mehānisma plāna otro papildinājumu”</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7D7D28" w:rsidRPr="00875E35" w14:paraId="76F0FD01" w14:textId="77777777">
        <w:tc>
          <w:tcPr>
            <w:tcW w:w="750" w:type="dxa"/>
            <w:shd w:val="clear" w:color="auto" w:fill="FFFFFF"/>
            <w:noWrap/>
            <w:tcMar>
              <w:top w:w="75" w:type="dxa"/>
              <w:left w:w="75" w:type="dxa"/>
              <w:bottom w:w="75" w:type="dxa"/>
              <w:right w:w="75" w:type="dxa"/>
            </w:tcMar>
            <w:vAlign w:val="center"/>
          </w:tcPr>
          <w:p w14:paraId="0A0A5C4E" w14:textId="77777777" w:rsidR="007D7D28" w:rsidRPr="00875E35" w:rsidRDefault="002C51CD">
            <w:pPr>
              <w:jc w:val="center"/>
              <w:rPr>
                <w:sz w:val="24"/>
                <w:szCs w:val="24"/>
              </w:rPr>
            </w:pPr>
            <w:r w:rsidRPr="00875E35">
              <w:rPr>
                <w:b/>
                <w:sz w:val="24"/>
                <w:szCs w:val="24"/>
              </w:rPr>
              <w:t>Nr.p.k.</w:t>
            </w:r>
          </w:p>
        </w:tc>
        <w:tc>
          <w:tcPr>
            <w:tcW w:w="4055" w:type="dxa"/>
            <w:shd w:val="clear" w:color="auto" w:fill="FFFFFF"/>
            <w:noWrap/>
            <w:tcMar>
              <w:top w:w="75" w:type="dxa"/>
              <w:left w:w="75" w:type="dxa"/>
              <w:bottom w:w="75" w:type="dxa"/>
              <w:right w:w="75" w:type="dxa"/>
            </w:tcMar>
            <w:vAlign w:val="center"/>
          </w:tcPr>
          <w:p w14:paraId="4A83D2F5" w14:textId="77777777" w:rsidR="007D7D28" w:rsidRPr="00875E35" w:rsidRDefault="002C51CD">
            <w:pPr>
              <w:jc w:val="center"/>
              <w:rPr>
                <w:sz w:val="24"/>
                <w:szCs w:val="24"/>
              </w:rPr>
            </w:pPr>
            <w:r w:rsidRPr="00875E35">
              <w:rPr>
                <w:b/>
                <w:sz w:val="24"/>
                <w:szCs w:val="24"/>
              </w:rPr>
              <w:t>Viedokļa / priekšlikuma / iebilduma iesniedzējs*</w:t>
            </w:r>
          </w:p>
        </w:tc>
        <w:tc>
          <w:tcPr>
            <w:tcW w:w="4056" w:type="dxa"/>
            <w:shd w:val="clear" w:color="auto" w:fill="FFFFFF"/>
            <w:noWrap/>
            <w:tcMar>
              <w:top w:w="75" w:type="dxa"/>
              <w:left w:w="75" w:type="dxa"/>
              <w:bottom w:w="75" w:type="dxa"/>
              <w:right w:w="75" w:type="dxa"/>
            </w:tcMar>
            <w:vAlign w:val="center"/>
          </w:tcPr>
          <w:p w14:paraId="3E40EACE" w14:textId="77777777" w:rsidR="007D7D28" w:rsidRPr="00875E35" w:rsidRDefault="002C51CD">
            <w:pPr>
              <w:jc w:val="center"/>
              <w:rPr>
                <w:sz w:val="24"/>
                <w:szCs w:val="24"/>
              </w:rPr>
            </w:pPr>
            <w:r w:rsidRPr="00875E35">
              <w:rPr>
                <w:b/>
                <w:sz w:val="24"/>
                <w:szCs w:val="24"/>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5B7CA698" w14:textId="77777777" w:rsidR="007D7D28" w:rsidRPr="00875E35" w:rsidRDefault="002C51CD">
            <w:pPr>
              <w:jc w:val="center"/>
              <w:rPr>
                <w:sz w:val="24"/>
                <w:szCs w:val="24"/>
              </w:rPr>
            </w:pPr>
            <w:r w:rsidRPr="00875E35">
              <w:rPr>
                <w:b/>
                <w:sz w:val="24"/>
                <w:szCs w:val="24"/>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580FF32D" w14:textId="77777777" w:rsidR="007D7D28" w:rsidRPr="00875E35" w:rsidRDefault="002C51CD">
            <w:pPr>
              <w:jc w:val="center"/>
              <w:rPr>
                <w:sz w:val="24"/>
                <w:szCs w:val="24"/>
              </w:rPr>
            </w:pPr>
            <w:r w:rsidRPr="00875E35">
              <w:rPr>
                <w:b/>
                <w:sz w:val="24"/>
                <w:szCs w:val="24"/>
              </w:rPr>
              <w:t>Skaidrojums, kādā veidā viedoklis / priekšlikums / iebildums ir ņemts vērā vai ņemts vērā daļēji, vai pamatojums, ja viedoklis / priekšlikums / iebildums nav ņemts vērā</w:t>
            </w:r>
          </w:p>
        </w:tc>
      </w:tr>
      <w:tr w:rsidR="002C51CD" w:rsidRPr="00875E35" w14:paraId="696F6556" w14:textId="77777777" w:rsidTr="007D2F57">
        <w:tc>
          <w:tcPr>
            <w:tcW w:w="750" w:type="dxa"/>
            <w:shd w:val="clear" w:color="auto" w:fill="FFFFFF"/>
            <w:noWrap/>
            <w:tcMar>
              <w:top w:w="75" w:type="dxa"/>
              <w:left w:w="75" w:type="dxa"/>
              <w:bottom w:w="75" w:type="dxa"/>
              <w:right w:w="75" w:type="dxa"/>
            </w:tcMar>
            <w:vAlign w:val="center"/>
          </w:tcPr>
          <w:p w14:paraId="162712A4" w14:textId="77777777" w:rsidR="002C51CD" w:rsidRPr="00875E35" w:rsidRDefault="002C51CD" w:rsidP="002C51CD">
            <w:pPr>
              <w:jc w:val="center"/>
              <w:rPr>
                <w:sz w:val="24"/>
                <w:szCs w:val="24"/>
              </w:rPr>
            </w:pPr>
            <w:r w:rsidRPr="00875E35">
              <w:rPr>
                <w:sz w:val="24"/>
                <w:szCs w:val="24"/>
              </w:rPr>
              <w:t>1.</w:t>
            </w:r>
          </w:p>
        </w:tc>
        <w:tc>
          <w:tcPr>
            <w:tcW w:w="4055" w:type="dxa"/>
            <w:shd w:val="clear" w:color="auto" w:fill="FFFFFF"/>
            <w:noWrap/>
            <w:tcMar>
              <w:top w:w="75" w:type="dxa"/>
              <w:left w:w="75" w:type="dxa"/>
              <w:bottom w:w="75" w:type="dxa"/>
              <w:right w:w="75" w:type="dxa"/>
            </w:tcMar>
            <w:vAlign w:val="center"/>
          </w:tcPr>
          <w:p w14:paraId="7402DA0B" w14:textId="77777777" w:rsidR="002C51CD" w:rsidRPr="00875E35" w:rsidRDefault="002C51CD" w:rsidP="002C51CD">
            <w:pPr>
              <w:jc w:val="left"/>
              <w:rPr>
                <w:sz w:val="24"/>
                <w:szCs w:val="24"/>
              </w:rPr>
            </w:pPr>
            <w:r w:rsidRPr="00875E35">
              <w:rPr>
                <w:sz w:val="24"/>
                <w:szCs w:val="24"/>
              </w:rPr>
              <w:t>Latvijas Pilsoniskā alianse</w:t>
            </w:r>
          </w:p>
        </w:tc>
        <w:tc>
          <w:tcPr>
            <w:tcW w:w="4056" w:type="dxa"/>
            <w:shd w:val="clear" w:color="auto" w:fill="FFFFFF"/>
            <w:noWrap/>
            <w:tcMar>
              <w:top w:w="75" w:type="dxa"/>
              <w:left w:w="75" w:type="dxa"/>
              <w:bottom w:w="75" w:type="dxa"/>
              <w:right w:w="75" w:type="dxa"/>
            </w:tcMar>
            <w:vAlign w:val="center"/>
          </w:tcPr>
          <w:p w14:paraId="2C73C83D" w14:textId="77777777" w:rsidR="002C51CD" w:rsidRPr="00875E35" w:rsidRDefault="002C51CD" w:rsidP="002C51CD">
            <w:pPr>
              <w:jc w:val="left"/>
              <w:rPr>
                <w:sz w:val="24"/>
                <w:szCs w:val="24"/>
              </w:rPr>
            </w:pPr>
            <w:r w:rsidRPr="00875E35">
              <w:rPr>
                <w:sz w:val="24"/>
                <w:szCs w:val="24"/>
              </w:rPr>
              <w:t>Biedrība “Latvijas Pilsoniskā alianse” (turpmāk – LPA) ir iepazinusies ar Latvijas Atveseļošanās un noturības mehānisma plāna otro papildinājumu (turpmāk – ANM plānu) un sniedz atzinumu.  </w:t>
            </w:r>
            <w:r w:rsidRPr="00875E35">
              <w:rPr>
                <w:sz w:val="24"/>
                <w:szCs w:val="24"/>
              </w:rPr>
              <w:br/>
            </w:r>
            <w:r w:rsidRPr="00875E35">
              <w:rPr>
                <w:sz w:val="24"/>
                <w:szCs w:val="24"/>
              </w:rPr>
              <w:br/>
              <w:t>Eiropas Savienības tiesību aktu, tostarp Atveseļošanās un noturības mehānisma regulas</w:t>
            </w:r>
            <w:r w:rsidRPr="00875E35">
              <w:rPr>
                <w:sz w:val="24"/>
                <w:szCs w:val="24"/>
                <w:vertAlign w:val="superscript"/>
              </w:rPr>
              <w:t xml:space="preserve">[1] </w:t>
            </w:r>
            <w:r w:rsidRPr="00875E35">
              <w:rPr>
                <w:sz w:val="24"/>
                <w:szCs w:val="24"/>
              </w:rPr>
              <w:t xml:space="preserve">tvērumā uzņēmums (angļu valodā - </w:t>
            </w:r>
            <w:r w:rsidRPr="00875E35">
              <w:rPr>
                <w:i/>
                <w:sz w:val="24"/>
                <w:szCs w:val="24"/>
              </w:rPr>
              <w:t>enterprise</w:t>
            </w:r>
            <w:r w:rsidRPr="00875E35">
              <w:rPr>
                <w:sz w:val="24"/>
                <w:szCs w:val="24"/>
              </w:rPr>
              <w:t>) tiek definēts kā jebkurš saimnieciskās darbības veicējs, neatkarīgi no tā juridiskās formas</w:t>
            </w:r>
            <w:r w:rsidRPr="00875E35">
              <w:rPr>
                <w:sz w:val="24"/>
                <w:szCs w:val="24"/>
                <w:vertAlign w:val="superscript"/>
              </w:rPr>
              <w:t>[2]</w:t>
            </w:r>
            <w:r w:rsidRPr="00875E35">
              <w:rPr>
                <w:sz w:val="24"/>
                <w:szCs w:val="24"/>
              </w:rPr>
              <w:t xml:space="preserve">. </w:t>
            </w:r>
            <w:r w:rsidRPr="00875E35">
              <w:rPr>
                <w:b/>
                <w:sz w:val="24"/>
                <w:szCs w:val="24"/>
              </w:rPr>
              <w:t xml:space="preserve">Tādēļ aicinām novērst nevienlīdzīgu attieksmi pret dažādiem sektoriem un tautsaimniecības dalībniekiem, un turpmāk ANM plānā nodrošināt finansējuma pieejamību procesu digitalizācijai arī biedrībām un nodibinājumiem </w:t>
            </w:r>
            <w:r w:rsidRPr="00875E35">
              <w:rPr>
                <w:sz w:val="24"/>
                <w:szCs w:val="24"/>
              </w:rPr>
              <w:t>(turpmāk – BN).</w:t>
            </w:r>
            <w:r w:rsidRPr="00875E35">
              <w:rPr>
                <w:sz w:val="24"/>
                <w:szCs w:val="24"/>
              </w:rPr>
              <w:br/>
            </w:r>
            <w:r w:rsidRPr="00875E35">
              <w:rPr>
                <w:sz w:val="24"/>
                <w:szCs w:val="24"/>
              </w:rPr>
              <w:br/>
              <w:t xml:space="preserve">LPA vērš uzmanību, ka ANM plāna </w:t>
            </w:r>
            <w:r w:rsidRPr="00875E35">
              <w:rPr>
                <w:sz w:val="24"/>
                <w:szCs w:val="24"/>
              </w:rPr>
              <w:lastRenderedPageBreak/>
              <w:t xml:space="preserve">investīciju pasākumos 2.3.1.2.i. "Uzņēmumu digitālo prasmju attīstība" un 2.2.1.4.i. "Finanšu instrumenti komersantu digitālās transformācijas veicināšanai", pēc būtības ir ierobežota BN iespēja pretendēt uz grantiem un gala labuma guvēji ir sīkie, mazie un vidējie komersanti. </w:t>
            </w:r>
            <w:r w:rsidRPr="00875E35">
              <w:rPr>
                <w:b/>
                <w:sz w:val="24"/>
                <w:szCs w:val="24"/>
              </w:rPr>
              <w:t>Tādēļ ANM plāna investīcijās Latvijā šobrīd saskatāma nevienlīdzīga attieksme pret dažādiem tautsaimniecības dalībniekiem.</w:t>
            </w:r>
            <w:r w:rsidRPr="00875E35">
              <w:rPr>
                <w:sz w:val="24"/>
                <w:szCs w:val="24"/>
              </w:rPr>
              <w:br/>
            </w:r>
            <w:r w:rsidRPr="00875E35">
              <w:rPr>
                <w:sz w:val="24"/>
                <w:szCs w:val="24"/>
              </w:rPr>
              <w:br/>
              <w:t>LPA ieskatā, ANM plāna investīcijās iekļautie digitalizācijas procesi attiecas arī uz BN – gan kā pašiem tautsaimniecības dalībniekiem, kuriem jāpielāgojas mainīgajiem apstākļiem, tai skaitā digitalizējot to sniegtos pakalpojumus un radot inovatīvu risinājumus, gan arī, kā uz darba tirgus dalībniekiem. Turklāt šobrīd BN, kas darbojas pilsoniskās sabiedrības labā, nav pieejams nekāda veida publiskais finansējums, kas ļautu digitalizēt iekšējos procesus un pakalpojumus mērķa grupām, tai skaitā mazāk aizsargātajam.</w:t>
            </w:r>
            <w:r w:rsidRPr="00875E35">
              <w:rPr>
                <w:sz w:val="24"/>
                <w:szCs w:val="24"/>
              </w:rPr>
              <w:br/>
            </w:r>
            <w:r w:rsidRPr="00875E35">
              <w:rPr>
                <w:sz w:val="24"/>
                <w:szCs w:val="24"/>
              </w:rPr>
              <w:br/>
              <w:t xml:space="preserve">Tāpat nevalstiskajam sektoram ir un nākotnē būs būtiska loma digitālās jeb kibervides risku novēršanā, kas saistīts </w:t>
            </w:r>
            <w:r w:rsidRPr="00875E35">
              <w:rPr>
                <w:sz w:val="24"/>
                <w:szCs w:val="24"/>
              </w:rPr>
              <w:lastRenderedPageBreak/>
              <w:t>ar nevienlīdzības pieaugumu digitālo prasmju atšķirību dēļ sabiedrībā, piemēram, vecuma, ienākumu un reģionālo atšķirību dēļ un dezinformācijas mazināšanā. Nevalstiskais sektors ir ļoti svarīgs partneris publiskajai pārvaldei sabiedrības informēšanā un izglītošanā, kas ir arī neatsverams partneris digitālo prasmju apguvē, lai sasniegtu dažādas sabiedrības grupas, ko valsts iestādes nespēj dažādu apstākļu dēl.</w:t>
            </w:r>
            <w:r w:rsidRPr="00875E35">
              <w:rPr>
                <w:sz w:val="24"/>
                <w:szCs w:val="24"/>
              </w:rPr>
              <w:br/>
            </w:r>
            <w:r w:rsidRPr="00875E35">
              <w:rPr>
                <w:sz w:val="24"/>
                <w:szCs w:val="24"/>
              </w:rPr>
              <w:br/>
            </w:r>
            <w:r w:rsidRPr="00875E35">
              <w:rPr>
                <w:bCs/>
                <w:sz w:val="24"/>
                <w:szCs w:val="24"/>
              </w:rPr>
              <w:t>Tādēļ aicinām rediģēt ANM plāna investīciju 2.3.1.2.i. "Uzņēmumu digitālo prasmju attīstība"[3] un 2.2.1.4.i. "Finanšu instrumenti komersantu digitālās transformācijas veicināšanai"[4] noteikumus un paredzēt iespēju arī BN kā pilntiesīgiem tautsaimniecības dalībniekiem pretendēt uz ANM plāna investīciju pasākumiem  procesu digitalizācijai.</w:t>
            </w:r>
            <w:r w:rsidRPr="00875E35">
              <w:rPr>
                <w:bCs/>
                <w:sz w:val="24"/>
                <w:szCs w:val="24"/>
              </w:rPr>
              <w:br/>
            </w:r>
            <w:r w:rsidRPr="00875E35">
              <w:rPr>
                <w:sz w:val="24"/>
                <w:szCs w:val="24"/>
              </w:rPr>
              <w:br/>
              <w:t xml:space="preserve">Konkrētāk, aicinām Ministru kabineta noteikumos Nr.529 “Eiropas Savienības Atveseļošanas un noturības mehānisma plāna 2. komponentes "Digitālā transformācija" 2.3. reformu un investīciju virziena "Digitālās prasmes" 2.3.1.2.i. investīcijas "Uzņēmumu digitālo prasmju attīstība" īstenošanas </w:t>
            </w:r>
            <w:r w:rsidRPr="00875E35">
              <w:rPr>
                <w:sz w:val="24"/>
                <w:szCs w:val="24"/>
              </w:rPr>
              <w:lastRenderedPageBreak/>
              <w:t xml:space="preserve">noteikumi” </w:t>
            </w:r>
            <w:r w:rsidRPr="00875E35">
              <w:rPr>
                <w:b/>
                <w:sz w:val="24"/>
                <w:szCs w:val="24"/>
              </w:rPr>
              <w:t>izslēgt 20.4. punktu “kopējais Latvijā reģistrēto biedrības biedru un to biedru apgrozījums pēdējā noslēgtajā pārskata gadā pārsniedz 142 miljonus euro”</w:t>
            </w:r>
            <w:r w:rsidRPr="00875E35">
              <w:rPr>
                <w:sz w:val="24"/>
                <w:szCs w:val="24"/>
              </w:rPr>
              <w:t>; kā arī aicinām veikt citas nepieciešamās noteikumu redakcijas, lai BN pēc būtības būtu vienlīdzīga iespēja pretendēt uz šīm investīcijām.</w:t>
            </w:r>
            <w:r w:rsidRPr="00875E35">
              <w:rPr>
                <w:sz w:val="24"/>
                <w:szCs w:val="24"/>
              </w:rPr>
              <w:br/>
            </w:r>
            <w:r w:rsidRPr="00875E35">
              <w:rPr>
                <w:sz w:val="24"/>
                <w:szCs w:val="24"/>
              </w:rPr>
              <w:br/>
            </w:r>
            <w:r w:rsidRPr="00875E35">
              <w:rPr>
                <w:sz w:val="24"/>
                <w:szCs w:val="24"/>
              </w:rPr>
              <w:br/>
            </w:r>
            <w:r w:rsidRPr="00875E35">
              <w:rPr>
                <w:sz w:val="24"/>
                <w:szCs w:val="24"/>
              </w:rPr>
              <w:br/>
              <w:t>[1] Eiropas Parlamenta un Padomes Regula (ES) 2021/241 (2021. gada 12. februāris), ar ko izveido Atveseļošanas un noturības mehānismu Regula - 2021/241 - EN - EUR-Lex</w:t>
            </w:r>
            <w:r w:rsidRPr="00875E35">
              <w:rPr>
                <w:sz w:val="24"/>
                <w:szCs w:val="24"/>
              </w:rPr>
              <w:br/>
            </w:r>
            <w:r w:rsidRPr="00875E35">
              <w:rPr>
                <w:sz w:val="24"/>
                <w:szCs w:val="24"/>
              </w:rPr>
              <w:br/>
              <w:t>[2] Eiropas Komisijas 2003. gada 6. maija rekomendācija par mikro, mazo un vidējo uzņēmumu definīciju (izziņots ar dokumenta numuru K(2003) 1422) EUR-Lex - 32003H0361 - EN - EUR-Lex</w:t>
            </w:r>
            <w:r w:rsidRPr="00875E35">
              <w:rPr>
                <w:sz w:val="24"/>
                <w:szCs w:val="24"/>
              </w:rPr>
              <w:br/>
            </w:r>
            <w:r w:rsidRPr="00875E35">
              <w:rPr>
                <w:sz w:val="24"/>
                <w:szCs w:val="24"/>
              </w:rPr>
              <w:br/>
              <w:t xml:space="preserve">[3] Eiropas Savienības Atveseļošanas un noturības mehānisma plāna 2. komponentes "Digitālā transformācija" 2.3. reformu un investīciju virziena "Digitālās prasmes" 2.3.1.2.i. investīcijas "Uzņēmumu digitālo prasmju attīstība" īstenošanas </w:t>
            </w:r>
            <w:r w:rsidRPr="00875E35">
              <w:rPr>
                <w:sz w:val="24"/>
                <w:szCs w:val="24"/>
              </w:rPr>
              <w:lastRenderedPageBreak/>
              <w:t>noteikumi Eiropas Savienības Atveseļošanas un noturības… - Latvijas Vēstnesis</w:t>
            </w:r>
            <w:r w:rsidRPr="00875E35">
              <w:rPr>
                <w:sz w:val="24"/>
                <w:szCs w:val="24"/>
              </w:rPr>
              <w:br/>
            </w:r>
            <w:r w:rsidRPr="00875E35">
              <w:rPr>
                <w:sz w:val="24"/>
                <w:szCs w:val="24"/>
              </w:rPr>
              <w:br/>
              <w:t>[4] Eiropas Savienības Atveseļošanas un noturības mehānisma plāna 2.2. reformu un investīciju virziena "Uzņēmumu digitālā transformācija un inovācijas" 2.2.1.4.i. investīcijas "Finanšu instrumenti komersantu digitālās transformācijas veicināšanai" īstenošanas noteikumi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r w:rsidRPr="00875E35">
              <w:rPr>
                <w:sz w:val="24"/>
                <w:szCs w:val="24"/>
              </w:rPr>
              <w:br/>
            </w:r>
          </w:p>
        </w:tc>
        <w:tc>
          <w:tcPr>
            <w:tcW w:w="1650" w:type="dxa"/>
            <w:shd w:val="clear" w:color="auto" w:fill="FFFFFF"/>
            <w:noWrap/>
            <w:tcMar>
              <w:top w:w="75" w:type="dxa"/>
              <w:left w:w="75" w:type="dxa"/>
              <w:bottom w:w="75" w:type="dxa"/>
              <w:right w:w="75" w:type="dxa"/>
            </w:tcMar>
            <w:vAlign w:val="center"/>
          </w:tcPr>
          <w:p w14:paraId="70D5A9E5" w14:textId="788A3967" w:rsidR="002C51CD" w:rsidRPr="00875E35" w:rsidRDefault="002C51CD" w:rsidP="002C51CD">
            <w:pPr>
              <w:jc w:val="left"/>
              <w:rPr>
                <w:sz w:val="24"/>
                <w:szCs w:val="24"/>
              </w:rPr>
            </w:pPr>
            <w:r w:rsidRPr="00875E35">
              <w:rPr>
                <w:b/>
                <w:color w:val="auto"/>
                <w:sz w:val="24"/>
                <w:szCs w:val="24"/>
              </w:rPr>
              <w:lastRenderedPageBreak/>
              <w:t>Ņemts vērā, sniedzot skaidrojumu</w:t>
            </w:r>
          </w:p>
        </w:tc>
        <w:tc>
          <w:tcPr>
            <w:tcW w:w="4056" w:type="dxa"/>
            <w:shd w:val="clear" w:color="auto" w:fill="FFFFFF"/>
            <w:noWrap/>
            <w:tcMar>
              <w:top w:w="75" w:type="dxa"/>
              <w:left w:w="75" w:type="dxa"/>
              <w:bottom w:w="75" w:type="dxa"/>
              <w:right w:w="75" w:type="dxa"/>
            </w:tcMar>
          </w:tcPr>
          <w:p w14:paraId="663DE61C" w14:textId="77777777" w:rsidR="002C51CD" w:rsidRPr="00875E35" w:rsidRDefault="002C51CD" w:rsidP="002C51CD">
            <w:pPr>
              <w:jc w:val="left"/>
              <w:rPr>
                <w:b/>
                <w:bCs/>
                <w:sz w:val="24"/>
                <w:szCs w:val="24"/>
              </w:rPr>
            </w:pPr>
            <w:r w:rsidRPr="00875E35">
              <w:rPr>
                <w:b/>
                <w:bCs/>
                <w:sz w:val="24"/>
                <w:szCs w:val="24"/>
              </w:rPr>
              <w:t>Ekonomikas ministrijas atbilde:</w:t>
            </w:r>
          </w:p>
          <w:p w14:paraId="6FB19C2E" w14:textId="77777777" w:rsidR="002C51CD" w:rsidRPr="00875E35" w:rsidRDefault="002C51CD" w:rsidP="002C51CD">
            <w:pPr>
              <w:jc w:val="left"/>
              <w:rPr>
                <w:sz w:val="24"/>
                <w:szCs w:val="24"/>
              </w:rPr>
            </w:pPr>
            <w:r w:rsidRPr="00875E35">
              <w:rPr>
                <w:sz w:val="24"/>
                <w:szCs w:val="24"/>
              </w:rPr>
              <w:t>Ekonomikas ministrija norāda, ka investīcijas 2.3.1.2.i “Uzņēmumu digitālo prasmju attīstība” mērķis ir nodrošināt Latvijas Republikā reģistrētus sīkos (mikro), mazos, vidējos un lielos komersantus ar digitālajām, robotizācijas un automatizācijas pamatprasmēm, digitālo pārveidi un digitālajām inovācijām.</w:t>
            </w:r>
          </w:p>
          <w:p w14:paraId="0BC19304" w14:textId="77777777" w:rsidR="002C51CD" w:rsidRPr="00875E35" w:rsidRDefault="002C51CD" w:rsidP="002C51CD">
            <w:pPr>
              <w:jc w:val="left"/>
              <w:rPr>
                <w:sz w:val="24"/>
                <w:szCs w:val="24"/>
              </w:rPr>
            </w:pPr>
            <w:r w:rsidRPr="00875E35">
              <w:rPr>
                <w:sz w:val="24"/>
                <w:szCs w:val="24"/>
              </w:rPr>
              <w:t xml:space="preserve">Skaidrojam, ka Atveseļošanas un noturības mehānisma regulas ietvaros termins </w:t>
            </w:r>
            <w:r w:rsidRPr="00875E35">
              <w:rPr>
                <w:i/>
                <w:iCs/>
                <w:sz w:val="24"/>
                <w:szCs w:val="24"/>
              </w:rPr>
              <w:t>enterprise</w:t>
            </w:r>
            <w:r w:rsidRPr="00875E35">
              <w:rPr>
                <w:sz w:val="24"/>
                <w:szCs w:val="24"/>
              </w:rPr>
              <w:t xml:space="preserve"> latviešu valodā tiek tulkots kā </w:t>
            </w:r>
            <w:r w:rsidRPr="00875E35">
              <w:rPr>
                <w:i/>
                <w:iCs/>
                <w:sz w:val="24"/>
                <w:szCs w:val="24"/>
              </w:rPr>
              <w:t>uzņēmums</w:t>
            </w:r>
            <w:r w:rsidRPr="00875E35">
              <w:rPr>
                <w:sz w:val="24"/>
                <w:szCs w:val="24"/>
              </w:rPr>
              <w:t xml:space="preserve">,  kas var būt  saimnieciskās darbības veicējs, tomēr  MK Noteikumu 529. kontekstā gala labuma guvējiem ir jākvalificējas noteiktiem kritērijiem, piemēram, jābūt Latvijas Republikā reģistrētiem sīkajiem (mikro), mazajiem, vidējiem un lieliem komersantiem, tai skaitā tiem, kas reģistrēti  Latvijas Republikā reģistrēta </w:t>
            </w:r>
            <w:r w:rsidRPr="00875E35">
              <w:rPr>
                <w:sz w:val="24"/>
                <w:szCs w:val="24"/>
              </w:rPr>
              <w:lastRenderedPageBreak/>
              <w:t>ārvalstu komersanta filiālē, kuri veic saimniecisko darbību Latvijā.</w:t>
            </w:r>
          </w:p>
          <w:p w14:paraId="1C31AF23" w14:textId="77777777" w:rsidR="002C51CD" w:rsidRPr="00875E35" w:rsidRDefault="002C51CD" w:rsidP="002C51CD">
            <w:pPr>
              <w:jc w:val="left"/>
              <w:rPr>
                <w:sz w:val="24"/>
                <w:szCs w:val="24"/>
              </w:rPr>
            </w:pPr>
            <w:r w:rsidRPr="00875E35">
              <w:rPr>
                <w:sz w:val="24"/>
                <w:szCs w:val="24"/>
              </w:rPr>
              <w:t xml:space="preserve">Norādām, ka biedrības un nodibinājumi nav investīcijas 2.3.1.2.i mērķa grupa jeb gala labuma guvēji, jo investīcijas mērķrādītāji ir noteikti “komersantu skaits”, līdz ar to investīcijas ietvaros piešķirtā finansējuma ietvaros  nepieciešams sasniegt mērķi – komersantus, kam nodrošināta digitālo pamatprasmju apguve. </w:t>
            </w:r>
          </w:p>
          <w:p w14:paraId="39188B69" w14:textId="77777777" w:rsidR="002C51CD" w:rsidRPr="00875E35" w:rsidRDefault="002C51CD" w:rsidP="002C51CD">
            <w:pPr>
              <w:jc w:val="left"/>
              <w:rPr>
                <w:sz w:val="24"/>
                <w:szCs w:val="24"/>
              </w:rPr>
            </w:pPr>
            <w:r w:rsidRPr="00875E35">
              <w:rPr>
                <w:sz w:val="24"/>
                <w:szCs w:val="24"/>
              </w:rPr>
              <w:t xml:space="preserve">Ņemot vērā, ka projektu īstenotāji jau ir izteikuši risku par rādītāju nesasniegšanu noteiktajos apmēros, Ekonomikas ministrija paredzētā finansējuma ietvaros uzlabo nosacījumus finansējuma saņēmējiem un gala labuma guvējiem, lai atvieglotu mācību procesa nodrošināšanu un īstenošanu. </w:t>
            </w:r>
          </w:p>
          <w:p w14:paraId="7DA90FBC" w14:textId="77777777" w:rsidR="002C51CD" w:rsidRPr="00875E35" w:rsidRDefault="002C51CD" w:rsidP="002C51CD">
            <w:pPr>
              <w:jc w:val="left"/>
              <w:rPr>
                <w:sz w:val="24"/>
                <w:szCs w:val="24"/>
              </w:rPr>
            </w:pPr>
            <w:r w:rsidRPr="00875E35">
              <w:rPr>
                <w:sz w:val="24"/>
                <w:szCs w:val="24"/>
              </w:rPr>
              <w:t>Vienlaikus norādām, ja investīcijas īstenošanas gaitā tiks konstatēts, ka MK Noteikumos noteiktie rādītāji ir sasniegti un projektos ir atlicis finansējums, Ekonomikas ministrija izvērtēs iespēju MK Noteikumu grozījumos kā gala labuma guvēju iekļaut arī nodibinājumus un biedrības.</w:t>
            </w:r>
          </w:p>
          <w:p w14:paraId="59CDA245" w14:textId="77777777" w:rsidR="002C51CD" w:rsidRPr="00875E35" w:rsidRDefault="002C51CD" w:rsidP="002C51CD">
            <w:pPr>
              <w:jc w:val="left"/>
              <w:rPr>
                <w:sz w:val="24"/>
                <w:szCs w:val="24"/>
              </w:rPr>
            </w:pPr>
          </w:p>
          <w:p w14:paraId="40D71E63" w14:textId="77777777" w:rsidR="002C51CD" w:rsidRPr="00875E35" w:rsidRDefault="002C51CD" w:rsidP="002C51CD">
            <w:pPr>
              <w:jc w:val="left"/>
              <w:rPr>
                <w:sz w:val="24"/>
                <w:szCs w:val="24"/>
              </w:rPr>
            </w:pPr>
            <w:r w:rsidRPr="00875E35">
              <w:rPr>
                <w:sz w:val="24"/>
                <w:szCs w:val="24"/>
              </w:rPr>
              <w:t xml:space="preserve">Saistībā ar 2.2.1.4.i. investīciju "Finanšu instrumenti komersantu digitālās transformācijas veicināšanai" vēlamies </w:t>
            </w:r>
            <w:r w:rsidRPr="00875E35">
              <w:rPr>
                <w:sz w:val="24"/>
                <w:szCs w:val="24"/>
              </w:rPr>
              <w:lastRenderedPageBreak/>
              <w:t>precizēt, ka šīs investīcijas sasniedzamais rādītājs ir komersants. ANM plāna ietvaros noteikumi paredz, ka šo investīciju mērķa grupa ir sīkie (mikro), mazie, vidējie, vidējas kapitalizācijas un lielie komersanti, neatkarīgi no uzņēmuma lieluma. Šī pieeja nodrošina, ka atbalsts ir pieejams visiem uzņēmējdarbības sektora dalībniekiem, kas veic saimniecisko darbību un sniedz ieguldījumu tautsaimniecības attīstībā.</w:t>
            </w:r>
          </w:p>
          <w:p w14:paraId="17B59655" w14:textId="77777777" w:rsidR="002C51CD" w:rsidRPr="00875E35" w:rsidRDefault="002C51CD" w:rsidP="002C51CD">
            <w:pPr>
              <w:jc w:val="left"/>
              <w:rPr>
                <w:sz w:val="24"/>
                <w:szCs w:val="24"/>
              </w:rPr>
            </w:pPr>
            <w:r w:rsidRPr="00875E35">
              <w:rPr>
                <w:sz w:val="24"/>
                <w:szCs w:val="24"/>
              </w:rPr>
              <w:t>Biedrību un nodibinājumu neiekļaušana gala labuma guvēju lokā šajā investīcijā ir balstīta uz investīciju mērķi, kas saistīts ar komersantu digitālās transformācijas veicināšanu un konkurētspējas uzlabošanu. Eiropas Savienības un nacionālā regulējuma ietvaros ANM plāna investīcijas ir paredzētas tieši saimnieciskās darbības veicināšanai un ekonomikas transformācijai, kur biedrību darbība, kas nereti nav saistīta ar peļņas gūšanu, neiekļaujas šajā definīcijā.</w:t>
            </w:r>
          </w:p>
          <w:p w14:paraId="2C54F09B" w14:textId="77777777" w:rsidR="002C51CD" w:rsidRPr="00875E35" w:rsidRDefault="002C51CD" w:rsidP="002C51CD">
            <w:pPr>
              <w:jc w:val="left"/>
              <w:rPr>
                <w:sz w:val="24"/>
                <w:szCs w:val="24"/>
              </w:rPr>
            </w:pPr>
            <w:r w:rsidRPr="00875E35">
              <w:rPr>
                <w:sz w:val="24"/>
                <w:szCs w:val="24"/>
              </w:rPr>
              <w:t xml:space="preserve">Attiecībā uz Biedrību un nodibinājumu nepieciešamību pēc digitālo procesu attīstības un finansējuma pieejamības mēs pilnībā atzīstam šīs vajadzības nozīmīgumu. Šajā sakarā ir svarīgi uzsvērt, ka biedrību un nodibinājumu atbalstam ir jāmeklē citi mehānismi un </w:t>
            </w:r>
            <w:r w:rsidRPr="00875E35">
              <w:rPr>
                <w:sz w:val="24"/>
                <w:szCs w:val="24"/>
              </w:rPr>
              <w:lastRenderedPageBreak/>
              <w:t>finansējuma avoti, kas vairāk atbilst Biedrību un nodibinājumu darbības specifikai un mērķiem.</w:t>
            </w:r>
          </w:p>
          <w:p w14:paraId="519F26DA" w14:textId="77777777" w:rsidR="002C51CD" w:rsidRPr="00875E35" w:rsidRDefault="002C51CD" w:rsidP="002C51CD">
            <w:pPr>
              <w:jc w:val="left"/>
              <w:rPr>
                <w:sz w:val="24"/>
                <w:szCs w:val="24"/>
              </w:rPr>
            </w:pPr>
          </w:p>
          <w:p w14:paraId="673CFB99" w14:textId="77777777" w:rsidR="002C51CD" w:rsidRPr="00875E35" w:rsidRDefault="002C51CD" w:rsidP="002C51CD">
            <w:pPr>
              <w:jc w:val="left"/>
              <w:rPr>
                <w:sz w:val="24"/>
                <w:szCs w:val="24"/>
              </w:rPr>
            </w:pPr>
            <w:r w:rsidRPr="00875E35">
              <w:rPr>
                <w:sz w:val="24"/>
                <w:szCs w:val="24"/>
              </w:rPr>
              <w:t>Vienlaicīgi vēršam uzmanību, ka LPA komentārs vairāk skar konkrēto investīciju MK  noteikumu nevis šī tiesību akta saturu, attiecīgi aicinām iesaistīties pie konkrēto MK noteikumu un to grozījumu saskaņošanas.</w:t>
            </w:r>
          </w:p>
          <w:p w14:paraId="4FE398F2" w14:textId="515F45F0" w:rsidR="007420F5" w:rsidRPr="00875E35" w:rsidRDefault="007420F5" w:rsidP="002C51CD">
            <w:pPr>
              <w:jc w:val="left"/>
              <w:rPr>
                <w:sz w:val="24"/>
                <w:szCs w:val="24"/>
              </w:rPr>
            </w:pPr>
            <w:r w:rsidRPr="00875E35">
              <w:rPr>
                <w:sz w:val="24"/>
                <w:szCs w:val="24"/>
              </w:rPr>
              <w:t xml:space="preserve">Saskaņā ar </w:t>
            </w:r>
            <w:r w:rsidR="003B7295" w:rsidRPr="00875E35">
              <w:rPr>
                <w:sz w:val="24"/>
                <w:szCs w:val="24"/>
              </w:rPr>
              <w:t>09.12.2024.</w:t>
            </w:r>
            <w:r w:rsidRPr="00875E35">
              <w:rPr>
                <w:sz w:val="24"/>
                <w:szCs w:val="24"/>
              </w:rPr>
              <w:t xml:space="preserve"> sanāksmē panākto vienošanos Ekonomikas ministrija</w:t>
            </w:r>
            <w:r w:rsidR="009D4F30" w:rsidRPr="00875E35">
              <w:rPr>
                <w:sz w:val="24"/>
                <w:szCs w:val="24"/>
              </w:rPr>
              <w:t xml:space="preserve"> izvērtēs iespēju Eiropas Savienības Atveseļošanas un noturības mehānisma plāna 2. komponentes "Digitālā transformācija" 2.3. reformu un investīciju virziena "Digitālās prasmes" 2.3.1.2.i. investīcijas "Uzņēmumu digitālo prasmju attīstība" īstenošanas noteikumu ietvaros veikt grozījumus, lai varētu sniegt atbalstu biedrībām un nodibinājumiem, kas veic saimniecisko darbību.</w:t>
            </w:r>
          </w:p>
        </w:tc>
      </w:tr>
    </w:tbl>
    <w:p w14:paraId="718F83E2" w14:textId="77777777" w:rsidR="007D7D28" w:rsidRDefault="007D7D28"/>
    <w:p w14:paraId="2F8804F0" w14:textId="00CB4B1D" w:rsidR="007D7D28" w:rsidRDefault="007D7D28"/>
    <w:sectPr w:rsidR="007D7D28">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ABE4F1" w14:textId="77777777" w:rsidR="002C51CD" w:rsidRDefault="002C51CD">
      <w:r>
        <w:separator/>
      </w:r>
    </w:p>
  </w:endnote>
  <w:endnote w:type="continuationSeparator" w:id="0">
    <w:p w14:paraId="5387E033" w14:textId="77777777" w:rsidR="002C51CD" w:rsidRDefault="002C5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EE0A8" w14:textId="77777777" w:rsidR="007D7D28" w:rsidRDefault="002C51CD">
    <w:pPr>
      <w:jc w:val="right"/>
    </w:pPr>
    <w:r>
      <w:rPr>
        <w:sz w:val="24"/>
        <w:szCs w:val="24"/>
      </w:rPr>
      <w:fldChar w:fldCharType="begin"/>
    </w:r>
    <w:r>
      <w:rPr>
        <w:sz w:val="24"/>
        <w:szCs w:val="24"/>
      </w:rPr>
      <w:instrText>PAGE</w:instrText>
    </w:r>
    <w:r>
      <w:rPr>
        <w:sz w:val="24"/>
        <w:szCs w:val="24"/>
      </w:rPr>
      <w:fldChar w:fldCharType="separate"/>
    </w:r>
    <w:r w:rsidR="00F0204D">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90EF9" w14:textId="77777777" w:rsidR="002C51CD" w:rsidRDefault="002C51C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C3ADA" w14:textId="77777777" w:rsidR="002C51CD" w:rsidRDefault="002C51CD">
      <w:r>
        <w:separator/>
      </w:r>
    </w:p>
  </w:footnote>
  <w:footnote w:type="continuationSeparator" w:id="0">
    <w:p w14:paraId="7D06DA8F" w14:textId="77777777" w:rsidR="002C51CD" w:rsidRDefault="002C5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090FC" w14:textId="77777777" w:rsidR="007D7D28" w:rsidRDefault="002C51CD">
    <w:pPr>
      <w:pStyle w:val="Header"/>
      <w:contextualSpacing w:val="0"/>
    </w:pPr>
    <w:r>
      <w:t>Viedokļu pārskats 24-TA-2070</w:t>
    </w:r>
    <w:r>
      <w:br/>
      <w:t>Izdrukāts 09.12.2024. 13.56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F222A" w14:textId="77777777" w:rsidR="007D7D28" w:rsidRDefault="002C51CD">
    <w:pPr>
      <w:pStyle w:val="Header"/>
      <w:contextualSpacing w:val="0"/>
    </w:pPr>
    <w:r>
      <w:t>Viedokļu pārskats 24-TA-2070</w:t>
    </w:r>
    <w:r>
      <w:br/>
      <w:t>Izdrukāts 09.12.2024. 13.56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D7D28"/>
    <w:rsid w:val="00112CF2"/>
    <w:rsid w:val="002977F9"/>
    <w:rsid w:val="002C51CD"/>
    <w:rsid w:val="003514E7"/>
    <w:rsid w:val="003B7295"/>
    <w:rsid w:val="003C4976"/>
    <w:rsid w:val="0050330E"/>
    <w:rsid w:val="005740A1"/>
    <w:rsid w:val="007420F5"/>
    <w:rsid w:val="007D7D28"/>
    <w:rsid w:val="00875E35"/>
    <w:rsid w:val="009D4F30"/>
    <w:rsid w:val="009D7CFA"/>
    <w:rsid w:val="00C57A5B"/>
    <w:rsid w:val="00E54C84"/>
    <w:rsid w:val="00F0204D"/>
    <w:rsid w:val="00F37B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41C3"/>
  <w15:docId w15:val="{0D6F0561-2A7A-4D2D-AAD9-A08734BC5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Revision">
    <w:name w:val="Revision"/>
    <w:hidden/>
    <w:uiPriority w:val="99"/>
    <w:semiHidden/>
    <w:rsid w:val="007420F5"/>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5</Pages>
  <Words>5484</Words>
  <Characters>3127</Characters>
  <Application>Microsoft Office Word</Application>
  <DocSecurity>0</DocSecurity>
  <Lines>26</Lines>
  <Paragraphs>17</Paragraphs>
  <ScaleCrop>false</ScaleCrop>
  <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viedoklu_parskats_24-TA-2070.docx</dc:title>
  <cp:lastModifiedBy>Sanda Blumberga</cp:lastModifiedBy>
  <cp:revision>10</cp:revision>
  <dcterms:created xsi:type="dcterms:W3CDTF">2024-12-09T12:47:00Z</dcterms:created>
  <dcterms:modified xsi:type="dcterms:W3CDTF">2024-12-11T09:51:00Z</dcterms:modified>
</cp:coreProperties>
</file>