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6F3124" w14:textId="523483A4" w:rsidR="00ED37CC" w:rsidRDefault="00103420">
      <w:pPr>
        <w:spacing w:after="240"/>
        <w:jc w:val="center"/>
        <w:rPr>
          <w:b/>
        </w:rPr>
      </w:pPr>
      <w:r>
        <w:rPr>
          <w:b/>
        </w:rPr>
        <w:t xml:space="preserve">“Publiskās apspriešanas laikā 10.10.2025. - 24.10.2025. saņemto viedokļu, priekšlikumu un iebildumu apkopojums par Grozījumi Ministru kabineta 2021. gada 19. oktobra noteikumos Nr.693 </w:t>
      </w:r>
      <w:r w:rsidR="00AC3E75">
        <w:rPr>
          <w:b/>
        </w:rPr>
        <w:t>“</w:t>
      </w:r>
      <w:r>
        <w:rPr>
          <w:b/>
        </w:rPr>
        <w:t>Būvju vispārīgo prasību būvnormatīvs LBN</w:t>
      </w:r>
      <w:r w:rsidR="00CB21F8">
        <w:rPr>
          <w:b/>
        </w:rPr>
        <w:t> </w:t>
      </w:r>
      <w:r>
        <w:rPr>
          <w:b/>
        </w:rPr>
        <w:t>200-21</w:t>
      </w:r>
      <w:r w:rsidR="00AC3E75">
        <w:rPr>
          <w:b/>
        </w:rPr>
        <w:t>”</w:t>
      </w:r>
      <w:r>
        <w:rPr>
          <w:b/>
        </w:rPr>
        <w: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ED37CC" w14:paraId="1590E869" w14:textId="77777777">
        <w:tc>
          <w:tcPr>
            <w:tcW w:w="750" w:type="dxa"/>
            <w:shd w:val="clear" w:color="auto" w:fill="FFFFFF"/>
            <w:noWrap/>
            <w:tcMar>
              <w:top w:w="75" w:type="dxa"/>
              <w:left w:w="75" w:type="dxa"/>
              <w:bottom w:w="75" w:type="dxa"/>
              <w:right w:w="75" w:type="dxa"/>
            </w:tcMar>
            <w:vAlign w:val="center"/>
          </w:tcPr>
          <w:p w14:paraId="3BBD180E" w14:textId="77777777" w:rsidR="00ED37CC" w:rsidRDefault="0010342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6050B317" w14:textId="77777777" w:rsidR="00ED37CC" w:rsidRDefault="0010342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12F369AD" w14:textId="77777777" w:rsidR="00ED37CC" w:rsidRDefault="0010342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1F29D00A" w14:textId="77777777" w:rsidR="00ED37CC" w:rsidRDefault="0010342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221EE055" w14:textId="77777777" w:rsidR="00ED37CC" w:rsidRDefault="00103420">
            <w:pPr>
              <w:jc w:val="center"/>
            </w:pPr>
            <w:r>
              <w:rPr>
                <w:b/>
              </w:rPr>
              <w:t>Skaidrojums, kādā veidā viedoklis / priekšlikums / iebildums ir ņemts vērā vai ņemts vērā daļēji, vai pamatojums, ja viedoklis / priekšlikums / iebildums nav ņemts vērā</w:t>
            </w:r>
          </w:p>
        </w:tc>
      </w:tr>
      <w:tr w:rsidR="00ED37CC" w14:paraId="0F25E31F" w14:textId="77777777">
        <w:tc>
          <w:tcPr>
            <w:tcW w:w="750" w:type="dxa"/>
            <w:shd w:val="clear" w:color="auto" w:fill="FFFFFF"/>
            <w:noWrap/>
            <w:tcMar>
              <w:top w:w="75" w:type="dxa"/>
              <w:left w:w="75" w:type="dxa"/>
              <w:bottom w:w="75" w:type="dxa"/>
              <w:right w:w="75" w:type="dxa"/>
            </w:tcMar>
            <w:vAlign w:val="center"/>
          </w:tcPr>
          <w:p w14:paraId="7330BB37" w14:textId="77777777" w:rsidR="00ED37CC" w:rsidRDefault="00103420">
            <w:pPr>
              <w:jc w:val="center"/>
            </w:pPr>
            <w:r>
              <w:t>1.</w:t>
            </w:r>
          </w:p>
        </w:tc>
        <w:tc>
          <w:tcPr>
            <w:tcW w:w="4055" w:type="dxa"/>
            <w:shd w:val="clear" w:color="auto" w:fill="FFFFFF"/>
            <w:noWrap/>
            <w:tcMar>
              <w:top w:w="75" w:type="dxa"/>
              <w:left w:w="75" w:type="dxa"/>
              <w:bottom w:w="75" w:type="dxa"/>
              <w:right w:w="75" w:type="dxa"/>
            </w:tcMar>
            <w:vAlign w:val="center"/>
          </w:tcPr>
          <w:p w14:paraId="2F8B1A3A" w14:textId="77777777" w:rsidR="00ED37CC" w:rsidRDefault="00103420">
            <w:pPr>
              <w:jc w:val="left"/>
            </w:pPr>
            <w:r>
              <w:t>Latvijas Būvinženieru savienība</w:t>
            </w:r>
          </w:p>
        </w:tc>
        <w:tc>
          <w:tcPr>
            <w:tcW w:w="4056" w:type="dxa"/>
            <w:shd w:val="clear" w:color="auto" w:fill="FFFFFF"/>
            <w:noWrap/>
            <w:tcMar>
              <w:top w:w="75" w:type="dxa"/>
              <w:left w:w="75" w:type="dxa"/>
              <w:bottom w:w="75" w:type="dxa"/>
              <w:right w:w="75" w:type="dxa"/>
            </w:tcMar>
            <w:vAlign w:val="center"/>
          </w:tcPr>
          <w:p w14:paraId="4C26AE88" w14:textId="77777777" w:rsidR="00CF34EF" w:rsidRDefault="00103420" w:rsidP="00CF34EF">
            <w:r>
              <w:t>Neatbalstām 5.1 apakšpunkta piedāvāto redakciju par obligāto no publisko tiesību juridiskās personas līdzekļiem finansētu ēku jauno būvniecību, tikai no koka būvkonstrukcijām, ja to izmantošanu pieļauj normatīvajos aktos noteiktās ugunsdrošības prasības un koka būvkonstrukciju izmantošanu neierobežo pastiprināta mitruma un ūdens ietekme uz konstrukcijām.</w:t>
            </w:r>
            <w:r>
              <w:br/>
            </w:r>
          </w:p>
          <w:p w14:paraId="1D33454E" w14:textId="030272BF" w:rsidR="00CF34EF" w:rsidRDefault="00103420" w:rsidP="00CF34EF">
            <w:r>
              <w:t>Atbalstām koka būvniecības plašāku un efektīvāku izmantošanu valstī.</w:t>
            </w:r>
            <w:r>
              <w:br/>
            </w:r>
            <w:r>
              <w:lastRenderedPageBreak/>
              <w:t>Tai pat laikā, vadoties no citiem normatīvajiem aspektiem neizprotam tik tiešu valsts deleģējumu koka būvniecībai, arī projekta anotācijā tas nav aprakstīts.  Piedāvātais priekšlikums esošajā formulējumā nav korekts, jo tiešā veidā aizliedz projektēt un būvēt ēkas no citām būvkonstrukcijām (piemēram, betona, mūra, tērauda, kompozīta, ģipškartona), ja tās ir iespējams projektēt un būvēt no koka.</w:t>
            </w:r>
            <w:r>
              <w:br/>
              <w:t>Grozījumu formulējums, kas obligāti nosaka koku kā vienīgo pieļaujamo materiālu, var nonākt pretrunā ar vispārējiem būvniecības principiem, kādi noteikti Būvniecības likuma 4. pantā, īpaši:</w:t>
            </w:r>
            <w:r>
              <w:br/>
              <w:t xml:space="preserve">Arhitektoniskās kvalitātes principu, kas paredz līdzsvarotu pieeju, ņemot vērā vairākus aspektus — ne tikai ilgtspējību, bet arī funkcionalitāti, estētiku, tehnoloģiju, ekonomiku, sabiedrības intereses u.c.; kā arī Inženiertehniskās kvalitātes </w:t>
            </w:r>
            <w:r>
              <w:lastRenderedPageBreak/>
              <w:t>principu, kas uzsver tehnisko drošību, ekonomisko un tehnoloģisko efektivitāti.</w:t>
            </w:r>
            <w:r>
              <w:br/>
              <w:t>Piedāvātais formulējums faktiski aizliedz izmantot jebkuru citu materiālu tikai tāpēc, ka tehniski iespējams izmantot koku. Tas ierobežo projektētāja un pasūtītāja iespējas izvēlēties arhitektoniski, tehniski vai ekonomiski piemērotāko risinājumu, neatkarīgi no tā, vai alternatīvais materiāls (piemēram, dzelzsbetons, tērauds vai mūris) būtu:</w:t>
            </w:r>
            <w:r>
              <w:br/>
              <w:t xml:space="preserve">lētāks vai </w:t>
            </w:r>
            <w:proofErr w:type="spellStart"/>
            <w:r>
              <w:t>ilgnoturīgāks</w:t>
            </w:r>
            <w:proofErr w:type="spellEnd"/>
            <w:r>
              <w:t xml:space="preserve"> konkrētā gadījumā,</w:t>
            </w:r>
            <w:r>
              <w:br/>
              <w:t>tehnoloģiski piemērotāks (piemēram, lieliem laidumiem vai slodzēm),</w:t>
            </w:r>
            <w:r>
              <w:br/>
              <w:t>arhitektoniski integrējamāks vēsturiskā apbūvē vai pilsētvidē,</w:t>
            </w:r>
            <w:r>
              <w:br/>
              <w:t>labāk piemērots specifiskām funkcijām (piemēram, rūpniecībā, veselības aprūpē).</w:t>
            </w:r>
            <w:r>
              <w:br/>
              <w:t xml:space="preserve">Būtu jāiegūst informācija par faktisko koka pieejamību </w:t>
            </w:r>
            <w:proofErr w:type="spellStart"/>
            <w:r>
              <w:t>iltermiņā</w:t>
            </w:r>
            <w:proofErr w:type="spellEnd"/>
            <w:r>
              <w:t xml:space="preserve">, LV rūpnīcu jaudām un </w:t>
            </w:r>
            <w:r>
              <w:lastRenderedPageBreak/>
              <w:t>ar koka elementu saistītām projektēšanas detalizācijas iestrādēm projektēšanas birojos.</w:t>
            </w:r>
            <w:r>
              <w:br/>
            </w:r>
          </w:p>
          <w:p w14:paraId="0679F69F" w14:textId="52F67C3B" w:rsidR="00ED37CC" w:rsidRDefault="00103420" w:rsidP="00CF34EF">
            <w:r>
              <w:t>Bez tam, šādā normas izklāstā var tikt būtiski palielināts finanšu slogs pašvaldību budžetiem. Saskaņā ar Pašvaldību likuma 4.panta (5)daļu, norma, kas uzliek jaunu pienākumu pašvaldībai (būvēt tikai koka konstrukcijas), būtu jānorāda par iespējamo papildus izdevumu avotiem, kompensācijas mehānismiem.</w:t>
            </w:r>
            <w:r>
              <w:br/>
              <w:t>Saskatāmas arī pretrunas ar Publisko iepirkumu likumu, piem., 2. pantā deklarēto mērķi nodrošināt: 3) pasūtītāja līdzekļu efektīvu izmantošanu, maksimāli samazinot tā risku.</w:t>
            </w:r>
          </w:p>
        </w:tc>
        <w:tc>
          <w:tcPr>
            <w:tcW w:w="1650" w:type="dxa"/>
            <w:shd w:val="clear" w:color="auto" w:fill="FFFFFF"/>
            <w:noWrap/>
            <w:tcMar>
              <w:top w:w="75" w:type="dxa"/>
              <w:left w:w="75" w:type="dxa"/>
              <w:bottom w:w="75" w:type="dxa"/>
              <w:right w:w="75" w:type="dxa"/>
            </w:tcMar>
            <w:vAlign w:val="center"/>
          </w:tcPr>
          <w:p w14:paraId="0FF6D32F" w14:textId="51E868A1" w:rsidR="00ED37CC" w:rsidRDefault="00CF34EF">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0B106601" w14:textId="781912A6" w:rsidR="00ED37CC" w:rsidRDefault="00295184" w:rsidP="007B7321">
            <w:r>
              <w:t>5.</w:t>
            </w:r>
            <w:r w:rsidRPr="00295184">
              <w:rPr>
                <w:vertAlign w:val="superscript"/>
              </w:rPr>
              <w:t>1</w:t>
            </w:r>
            <w:r>
              <w:t xml:space="preserve"> p</w:t>
            </w:r>
            <w:r w:rsidR="007A2870">
              <w:t>unkts svītrot no projekta</w:t>
            </w:r>
            <w:r w:rsidR="002D22FE">
              <w:t>, kā arī svītrota attiecīgā informācija no anotācijas.</w:t>
            </w:r>
          </w:p>
        </w:tc>
      </w:tr>
      <w:tr w:rsidR="00ED37CC" w14:paraId="6F7D1282" w14:textId="77777777">
        <w:tc>
          <w:tcPr>
            <w:tcW w:w="750" w:type="dxa"/>
            <w:shd w:val="clear" w:color="auto" w:fill="FFFFFF"/>
            <w:noWrap/>
            <w:tcMar>
              <w:top w:w="75" w:type="dxa"/>
              <w:left w:w="75" w:type="dxa"/>
              <w:bottom w:w="75" w:type="dxa"/>
              <w:right w:w="75" w:type="dxa"/>
            </w:tcMar>
            <w:vAlign w:val="center"/>
          </w:tcPr>
          <w:p w14:paraId="3B86DCED" w14:textId="77777777" w:rsidR="00ED37CC" w:rsidRDefault="00103420">
            <w:pPr>
              <w:jc w:val="center"/>
            </w:pPr>
            <w:r>
              <w:lastRenderedPageBreak/>
              <w:t>2.</w:t>
            </w:r>
          </w:p>
        </w:tc>
        <w:tc>
          <w:tcPr>
            <w:tcW w:w="4055" w:type="dxa"/>
            <w:shd w:val="clear" w:color="auto" w:fill="FFFFFF"/>
            <w:noWrap/>
            <w:tcMar>
              <w:top w:w="75" w:type="dxa"/>
              <w:left w:w="75" w:type="dxa"/>
              <w:bottom w:w="75" w:type="dxa"/>
              <w:right w:w="75" w:type="dxa"/>
            </w:tcMar>
            <w:vAlign w:val="center"/>
          </w:tcPr>
          <w:p w14:paraId="3FD64092" w14:textId="77777777" w:rsidR="00ED37CC" w:rsidRDefault="00103420">
            <w:pPr>
              <w:jc w:val="left"/>
            </w:pPr>
            <w:r>
              <w:t>LATVIJAS ARHITEKTU SAVIENĪBA</w:t>
            </w:r>
          </w:p>
        </w:tc>
        <w:tc>
          <w:tcPr>
            <w:tcW w:w="4056" w:type="dxa"/>
            <w:shd w:val="clear" w:color="auto" w:fill="FFFFFF"/>
            <w:noWrap/>
            <w:tcMar>
              <w:top w:w="75" w:type="dxa"/>
              <w:left w:w="75" w:type="dxa"/>
              <w:bottom w:w="75" w:type="dxa"/>
              <w:right w:w="75" w:type="dxa"/>
            </w:tcMar>
            <w:vAlign w:val="center"/>
          </w:tcPr>
          <w:p w14:paraId="0D5D7CC7" w14:textId="77777777" w:rsidR="00CF34EF" w:rsidRDefault="00103420" w:rsidP="00CF34EF">
            <w:r>
              <w:t xml:space="preserve">Biedrība Latvijas Arhitektu savienība sniedz šādus iebildumus un priekšlikumus par Grozījumiem Ministru kabineta 2021. gada 19. oktobra noteikumos Nr. 693 "Būvju vispārīgo prasību būvnormatīvs </w:t>
            </w:r>
            <w:r>
              <w:lastRenderedPageBreak/>
              <w:t>LBN 200-21":</w:t>
            </w:r>
            <w:r>
              <w:br/>
            </w:r>
            <w:r>
              <w:br/>
            </w:r>
            <w:r>
              <w:rPr>
                <w:u w:val="single"/>
              </w:rPr>
              <w:t>Par Grozījumu 1.1. punktu, kas nosaka papildināt 1. punktā aiz vārdiem "projektējot ēkas" ar vārdiem "transporta būves":</w:t>
            </w:r>
            <w:r>
              <w:br/>
            </w:r>
            <w:r>
              <w:rPr>
                <w:u w:val="single"/>
              </w:rPr>
              <w:t>LAS iebilst paplašināt un attiecināt būvnormatīvu arī uz transporta būvēm</w:t>
            </w:r>
            <w:r>
              <w:t xml:space="preserve"> (atbilstoši būvju klasifikācijas noteikumiem transporta būves ir ceļi, dzelzceļi, tramvaja ceļi, lidlauku skrejceļi, tilti, tuneļi, ostas </w:t>
            </w:r>
            <w:proofErr w:type="spellStart"/>
            <w:r>
              <w:t>u.c</w:t>
            </w:r>
            <w:proofErr w:type="spellEnd"/>
            <w:r>
              <w:t>). Būvnormatīva 12.11. nodaļā “Transporta būves” noteiktās prasības līdz šim bija attiecināmas tikai uz ēkām, kas izrietēja no 1. punktā noteiktā. Nosakot, ka viss normatīvs attieksies arī uz transporta būvēm, ir jāpārskata viss būvnormatīvs. LAS ieskatā inženierbūvēm būtu veidojams atsevišķs LBN.</w:t>
            </w:r>
            <w:r>
              <w:br/>
            </w:r>
          </w:p>
          <w:p w14:paraId="46E5933B" w14:textId="77777777" w:rsidR="00CF34EF" w:rsidRDefault="00103420" w:rsidP="00CF34EF">
            <w:r>
              <w:rPr>
                <w:u w:val="single"/>
              </w:rPr>
              <w:t>Par Grozījumu 1.2. punktu, kas nosaka papildināt būvnormatīvu ar 5.1 apakšpunktu:</w:t>
            </w:r>
            <w:r>
              <w:br/>
              <w:t xml:space="preserve">LAS principā atbalsta koka kā </w:t>
            </w:r>
            <w:r>
              <w:lastRenderedPageBreak/>
              <w:t xml:space="preserve">būvmateriāla lietošanas popularizēšanu un tā izmatošanas iespēju paplašināšanu, kā arī atbalsta ilgtspējību būvniecībā,  taču </w:t>
            </w:r>
            <w:r>
              <w:rPr>
                <w:u w:val="single"/>
              </w:rPr>
              <w:t>5.1. punkts ir noraidāms pilnībā sekojošu iemeslu dēļ</w:t>
            </w:r>
            <w:r>
              <w:t>:</w:t>
            </w:r>
            <w:r>
              <w:br/>
            </w:r>
          </w:p>
          <w:p w14:paraId="460CBF43" w14:textId="704E20F6" w:rsidR="00CF34EF" w:rsidRDefault="00103420" w:rsidP="00CF34EF">
            <w:r>
              <w:t>1.LBN 200-21 p.5.1. neatbilst grozījumu mērķim un regulējumam:</w:t>
            </w:r>
            <w:r>
              <w:br/>
              <w:t>Koka konstrukciju obligātā piemērošana publiskā finansējuma objektos nav ietverta 25-TA-1857 Grozījumu Ministru kabineta 2021. gada 19. oktobra noteikumos Nr. 693 "Būvju vispārīgo prasību būvnormatīvs LBN 200-21" mērķī.</w:t>
            </w:r>
            <w:r>
              <w:br/>
              <w:t>Grozījumi neatbilst Būvniecības likuma (BL) 4.pantā noteiktajiem Būvniecības principiem - obligātais koka konstrukciju pielietošanas noteikums izslēdz BL 4. pantā paredzēto visaptverošo analīzi, izsvērta un tehnoloģiski efektīva ēkas risinājuma nodrošināšanu un ignorē BL 4. pantā noteiktos ekonomiskos, kultūrvēsturiskos un funkcionālos aspektus. Ēkas konstrukciju materiāla izvēlei jābūt balstītai uz visiem BL 4. pantā noteiktajiem principiem.</w:t>
            </w:r>
            <w:r>
              <w:br/>
              <w:t>Saskaņā ar BL 5. pantā noteikto Ministru kabineta kompetence būvniecības jomā ir izdot būvnormatīvus, kuros nosaka tehniskās prasības attiecībā uz būvēm un to elementiem un vides pieejamības prasības attiecībā uz būvēm, proti MK nepiemīt kompetence noteikt konkrētu materiālu (tai skaitā būvmateriālu) kā obligātu.</w:t>
            </w:r>
            <w:r>
              <w:br/>
              <w:t>Koka konstrukciju ēkas vairumā gadījumu būs dārgākas kā citu konstrukciju ēkas. Grozījumi, izvirzot īpašas prasības būvmateriāliem, neparedzot kompensācijas mehānismu ir pretrunā ar Pašvaldību likuma (PL) 4.panta piekto daļu, kas nosaka ka nododot pašvaldībai jaunu autonomo funkciju vai uzdevumu, kura izpilde saistīta ar izdevumu palielināšanos, vienlaikus pašvaldībai nosakāmi finansējuma avoti šīs funkcijas vai uzdevuma izpildes nodrošināšanai.</w:t>
            </w:r>
            <w:r>
              <w:br/>
              <w:t>Grozījumi ir pretrunā ar Iepirkuma likuma 2.panta trešo daļu, kas paredz pasūtītāja līdzekļu efektīvu izmantošanu, maksimāli samazinot tā risku. Būvniecība koka konstrukcijā visiem lietošanas veidiem bez izņēmuma, neanalizējot citus ietekmējošus aspektus, liedz nodrošināt publiskā finansējuma saimnieciski rūpīgu un efektīvu izlietošanu.</w:t>
            </w:r>
            <w:r>
              <w:br/>
              <w:t>Grozījumu redakcija neparedz izņēmumus, analogus, kā arī nesniedz uz izpētēm un speciālistu atzinumiem balstītu pamatojumu, kas nav pietiekams tik būtiski industriju ietekmējošā lēmuma pieņemšanai.</w:t>
            </w:r>
            <w:r>
              <w:br/>
              <w:t>Virzāmie grozījumi ir pretrunā ar Konkurences likuma (KL) 2.pantā norādīto mērķi - aizsargāt, saglabāt un attīstīt brīvu, godīgu un vienlīdzīgu konkurenci visās tautsaimniecības nozarēs sabiedrības interesēs, ierobežojot tirgus koncentrāciju, uzliekot par pienākumu izbeigt konkurenci regulējošajos normatīvajos aktos aizliegtas darbības un normatīvajos aktos noteiktajā kārtībā saucot pie atbildības vainīgās personas. Grozījumi kropļo konkurenci, dodot priekšroku konkrētai kokapstrādes nozarei.</w:t>
            </w:r>
            <w:r>
              <w:br/>
            </w:r>
          </w:p>
          <w:p w14:paraId="1977FE07" w14:textId="72123FFC" w:rsidR="00ED37CC" w:rsidRDefault="00103420" w:rsidP="00CF34EF">
            <w:r>
              <w:t>2.Anotācijā ir vairākas nepilnības un pretrunas:</w:t>
            </w:r>
            <w:r>
              <w:br/>
              <w:t>Anotācijā norādīts, ka netika izvērtēts prasību un izmaksu samērīgums pret ieguvumiem, kā arī alternatīvo risinājumu iespējas, kas nav pieņemami tik būtiskiem grozījumiem. Maldīgi norādīts, ka paredzēts noteikt, ka publiski finansētu ēku nesošajās konstrukcijās priekšroka dodama koka būvkonstrukcijām,- taču tā nav priekšroka, bet gan vienīgā iespēja, neatstājot pat iespēju daļēji ēkas konstrukcijas izpildīt ar citiem būvmateriāliem.</w:t>
            </w:r>
            <w:r>
              <w:br/>
              <w:t>Anotācijas p.2.1. pie sabiedrības grupas, kuras tiesiskais regulējums ietekmē, vai varētu ietekmēt grozījumi nav minētas pašvaldības un valsts pārvaldes iestādes, kas neatbilst patiesībai – koka projektēšanai un būvniecībai vairumā gadījumu būs papildus izmaksas.</w:t>
            </w:r>
            <w:r>
              <w:br/>
              <w:t>Anotācijā p.2.2. maldīgi norādīts, ka projekts neskar un neietekmē tautsaimniecību, kas nav patiesība, ņemot vērā, ka koka ēku būvniecības obligātums papildus stimulēs meža stādīšanu lauksaimniecības zemēs - jau tagad Latgalē ir pietiekami aktīvs apmežošanas process, kas savukārt atstās ietekmi uz Latvijas ainavām un ekosistēmu.</w:t>
            </w:r>
            <w:r>
              <w:br/>
            </w:r>
            <w:r>
              <w:br/>
              <w:t>3.Tehniskie, ekonomiskie, praktiskie un citi apsvērumi p.5.1. noraidīšanai:</w:t>
            </w:r>
            <w:r>
              <w:br/>
              <w:t>Mitrums un ugunsdrošība nav vienīgie aspekti, kas var ierobežot koka izmantošanu. Koka konstrukcijas nav piemērotas visiem lietošanas veidiem, ar koka konstrukcijām grūtāk nodrošināt akustiskās prasības (</w:t>
            </w:r>
            <w:proofErr w:type="spellStart"/>
            <w:r>
              <w:t>reverberācijas</w:t>
            </w:r>
            <w:proofErr w:type="spellEnd"/>
            <w:r>
              <w:t xml:space="preserve"> izplatīšana, konstruktīvais troksnis), koka konstrukcijas nevar nodrošināt fiziskās drošības prasības atbilstoši 822 MK noteikumiem, koka konstrukcijas nenodrošinās </w:t>
            </w:r>
            <w:proofErr w:type="spellStart"/>
            <w:r>
              <w:t>liellaiduma</w:t>
            </w:r>
            <w:proofErr w:type="spellEnd"/>
            <w:r>
              <w:t xml:space="preserve"> pārsegumus virs 60m.</w:t>
            </w:r>
            <w:r>
              <w:br/>
              <w:t>Dzelzsbetona un metāla konstrukciju darbus, pretstatā koka konstrukcijām, iespējams veikt arī pastiprinātu nokrišņu un vēja apstākļos, kas būtiski samazina būvniecības termiņus (neprasa papildus aizsardzības konstrukcijām). Nav nepieciešama aizsardzība pret mitrumu transportēšanas un uzglabāšanas laikā.</w:t>
            </w:r>
            <w:r>
              <w:br/>
              <w:t>Nav vērtēts Latvijas koka konstrukciju projektētāju un būvnieku skaits, kas var ierobežot valsts un pašvaldību finanšu instrumentu apgūšanā, radot noslodzi un negatīvi ietekmējot būvniecības kvalitāti.</w:t>
            </w:r>
            <w:r>
              <w:br/>
              <w:t>CLT konstrukciju projektēšanai nav pieejami ražotāju standarta mezgli akustisko parametru nodrošināšanai, projektos nav iespējams nodrošināt normatīvās akustikās prasības (trūkst informācijas).</w:t>
            </w:r>
            <w:r>
              <w:br/>
              <w:t xml:space="preserve">Ilgtspējības mērķis ir </w:t>
            </w:r>
            <w:proofErr w:type="spellStart"/>
            <w:r>
              <w:t>klimatneitralitāte</w:t>
            </w:r>
            <w:proofErr w:type="spellEnd"/>
            <w:r>
              <w:t>, kas ar šiem grozījumiem nekādā veidā nav vērtēta un nodrošināta. Citās valstīs to risina, nosakot emisiju griestus, taču materiāla izvēle paliek klienta ziņā.</w:t>
            </w:r>
            <w:r>
              <w:br/>
              <w:t>Ražojot līmētās koka konstrukcijas (CLT, līmētās sijas), tiek izmantotas rūpnieciski ražotas sintētisko sveķu līmes (</w:t>
            </w:r>
            <w:proofErr w:type="spellStart"/>
            <w:r>
              <w:t>melamīna</w:t>
            </w:r>
            <w:proofErr w:type="spellEnd"/>
            <w:r>
              <w:t>-karbamīda-formaldehīda, poliuretāna u. c.), kā arī koksne tiek mākslīgi žāvēta līdz 10–12 % mitruma. Tas nodrošina augstu materiāla stiprību un izmēru stabilitāti, tomēr prasa ievērojamas enerģijas izmaksas un sarežģītu ražošanas procesu, kas atkal ir pretrunā ar iecerēto ilgtspējību.</w:t>
            </w:r>
            <w:r>
              <w:br/>
              <w:t xml:space="preserve">Koka konstrukciju izmantošana pati par sevi nenodrošina ilgtspējību, jo nav noteikts, ka izmantojams tikai vietējais kokmateriāls; koksnes importēšanai nepieciešamā transportēšana negatīvi ietekmē </w:t>
            </w:r>
            <w:proofErr w:type="spellStart"/>
            <w:r>
              <w:t>klimatneitralitāti</w:t>
            </w:r>
            <w:proofErr w:type="spellEnd"/>
            <w:r>
              <w:t>.</w:t>
            </w:r>
            <w:r>
              <w:br/>
              <w:t>Koks nav vienīgais vietējais resurss, ir jāstimulē visu vietējo resursu izmantošana. Mērķis nedrīkst būt viena materiāla uzspiesta lietošana. Mērķis ir nodrošināt ilgtspējīgu dabas resursu izmantošanu būvniecībā. Jābūt izvērtēšanas sistēmai, kura noved pie atbilstošākajiem materiāliem. Varbūt pie koka, varbūt vietējiem ķieģeļiem.</w:t>
            </w:r>
            <w:r>
              <w:br/>
              <w:t xml:space="preserve">LAS atbalsta ilgtspējīgas attīstības principu ieviešanu būvniecībā, tomēr uzsver, ka ilgtspējības nodrošināšanai nepieciešams skatījums, kas pārsniedz tikai koka kā obligāta būvmateriāla noteikšanu ēku konstrukcijās. Pašlaik vairumam Būvniecības likuma 9. pantā noteiktajām būvei izvirzāmajām prasībām ir izstrādāti un izdoti attiecīgie normatīvie akti — būvnormatīvi (piemēram, ugunsdrošības un akustikas jomā), Ministru kabineta noteikumi (piemēram, higiēnas prasībām konkrētām funkcijām) vai piemērojami standarti (piemēram, </w:t>
            </w:r>
            <w:proofErr w:type="spellStart"/>
            <w:r>
              <w:t>Eirokodeksi</w:t>
            </w:r>
            <w:proofErr w:type="spellEnd"/>
            <w:r>
              <w:t xml:space="preserve"> konstrukciju projektēšanā un vides pieejamībā). Savukārt ilgtspējīgai dabas resursu izmantošanai šobrīd trūkst gan normatīvā regulējuma, gan metodoloģiska ietvara. Steidzami ir nepieciešams izstrādāt valsts regulējumu, kas nosaka pilna visu galveno būvniecībā izmantojamo būvmateriālu / būves dzīves cikla apzināšanu, konkretizējot to ražošanas radīto oglekļa emisijas lielumu un nosakot būvei atļautos dzīves cikla emisijas slieksni.</w:t>
            </w:r>
            <w:r>
              <w:br/>
            </w:r>
            <w:r>
              <w:br/>
            </w:r>
            <w:r>
              <w:rPr>
                <w:u w:val="single"/>
              </w:rPr>
              <w:t>Par Grozījumu 1.3. punktu</w:t>
            </w:r>
            <w:r>
              <w:t>:</w:t>
            </w:r>
            <w:r>
              <w:br/>
              <w:t>LAS principā neiebilst grozījumu jēgai pēc būtības, taču LAS iebilst, ka šis tiek ierakstīts šajā būvnormatīvā (sk. iebildumu pie 1.1 punkta).</w:t>
            </w:r>
            <w:r>
              <w:br/>
            </w:r>
          </w:p>
        </w:tc>
        <w:tc>
          <w:tcPr>
            <w:tcW w:w="1650" w:type="dxa"/>
            <w:shd w:val="clear" w:color="auto" w:fill="FFFFFF"/>
            <w:noWrap/>
            <w:tcMar>
              <w:top w:w="75" w:type="dxa"/>
              <w:left w:w="75" w:type="dxa"/>
              <w:bottom w:w="75" w:type="dxa"/>
              <w:right w:w="75" w:type="dxa"/>
            </w:tcMar>
            <w:vAlign w:val="center"/>
          </w:tcPr>
          <w:p w14:paraId="4311E5AA" w14:textId="77777777" w:rsidR="00ED37CC" w:rsidRDefault="007A2870">
            <w:pPr>
              <w:jc w:val="left"/>
            </w:pPr>
            <w:r>
              <w:lastRenderedPageBreak/>
              <w:t>1. Ņemts vērā</w:t>
            </w:r>
          </w:p>
          <w:p w14:paraId="2A4F2C96" w14:textId="77777777" w:rsidR="007A2870" w:rsidRDefault="007A2870">
            <w:pPr>
              <w:jc w:val="left"/>
            </w:pPr>
          </w:p>
          <w:p w14:paraId="2B5915FB" w14:textId="41E6F766" w:rsidR="007A2870" w:rsidRDefault="007A2870">
            <w:pPr>
              <w:jc w:val="left"/>
            </w:pPr>
            <w:r>
              <w:t>2. Nav ņemts vērā</w:t>
            </w:r>
          </w:p>
        </w:tc>
        <w:tc>
          <w:tcPr>
            <w:tcW w:w="4056" w:type="dxa"/>
            <w:shd w:val="clear" w:color="auto" w:fill="FFFFFF"/>
            <w:noWrap/>
            <w:tcMar>
              <w:top w:w="75" w:type="dxa"/>
              <w:left w:w="75" w:type="dxa"/>
              <w:bottom w:w="75" w:type="dxa"/>
              <w:right w:w="75" w:type="dxa"/>
            </w:tcMar>
            <w:vAlign w:val="center"/>
          </w:tcPr>
          <w:p w14:paraId="3E6B2F3F" w14:textId="74FC387F" w:rsidR="00ED37CC" w:rsidRDefault="007A2870">
            <w:pPr>
              <w:jc w:val="left"/>
            </w:pPr>
            <w:r>
              <w:t>1.</w:t>
            </w:r>
            <w:r w:rsidR="00EA4CB3">
              <w:t> </w:t>
            </w:r>
            <w:r w:rsidR="00295184">
              <w:t>5.</w:t>
            </w:r>
            <w:r w:rsidR="00295184" w:rsidRPr="00295184">
              <w:rPr>
                <w:vertAlign w:val="superscript"/>
              </w:rPr>
              <w:t xml:space="preserve">1 </w:t>
            </w:r>
            <w:r w:rsidR="00295184">
              <w:t>p</w:t>
            </w:r>
            <w:r w:rsidRPr="007A2870">
              <w:t>unkts svītrot no projekta</w:t>
            </w:r>
            <w:r w:rsidR="00295184">
              <w:t xml:space="preserve">, kā arī </w:t>
            </w:r>
            <w:r w:rsidR="00775E30">
              <w:t xml:space="preserve">svītrota </w:t>
            </w:r>
            <w:r w:rsidR="00EA4CB3">
              <w:t>attiecīgā informācija no anotācijas.</w:t>
            </w:r>
          </w:p>
          <w:p w14:paraId="75692221" w14:textId="77777777" w:rsidR="00EA4CB3" w:rsidRDefault="00EA4CB3">
            <w:pPr>
              <w:jc w:val="left"/>
            </w:pPr>
          </w:p>
          <w:p w14:paraId="13AD03F2" w14:textId="363C8680" w:rsidR="003E0616" w:rsidRDefault="00EA4CB3" w:rsidP="00CA468F">
            <w:r>
              <w:t>2. </w:t>
            </w:r>
            <w:r w:rsidR="003E0616" w:rsidRPr="003E0616">
              <w:t>Būvju vispārīgo prasību būvnormatīv</w:t>
            </w:r>
            <w:r w:rsidR="003E0616">
              <w:t>a</w:t>
            </w:r>
            <w:r w:rsidR="003E0616" w:rsidRPr="003E0616">
              <w:t xml:space="preserve"> LBN 200-21</w:t>
            </w:r>
            <w:r w:rsidR="00A355FA">
              <w:t xml:space="preserve"> </w:t>
            </w:r>
            <w:r w:rsidR="00A355FA" w:rsidRPr="00A355FA">
              <w:t>12.11.</w:t>
            </w:r>
            <w:r w:rsidR="00A355FA">
              <w:t xml:space="preserve">apakšnodaļas </w:t>
            </w:r>
            <w:r w:rsidR="002713C3" w:rsidRPr="00BD4449">
              <w:rPr>
                <w:i/>
                <w:iCs/>
              </w:rPr>
              <w:t xml:space="preserve">Transporta </w:t>
            </w:r>
            <w:r w:rsidR="002713C3" w:rsidRPr="00BD4449">
              <w:rPr>
                <w:i/>
                <w:iCs/>
              </w:rPr>
              <w:lastRenderedPageBreak/>
              <w:t xml:space="preserve">būves </w:t>
            </w:r>
            <w:r w:rsidR="00BB3414">
              <w:t>prasības</w:t>
            </w:r>
            <w:r w:rsidR="00A355FA">
              <w:t xml:space="preserve"> neatbilst</w:t>
            </w:r>
            <w:r w:rsidR="00A355FA" w:rsidRPr="00A355FA">
              <w:t xml:space="preserve"> </w:t>
            </w:r>
            <w:r w:rsidR="002713C3">
              <w:t>šā būvnormatīva</w:t>
            </w:r>
            <w:r w:rsidR="00BB3414">
              <w:t xml:space="preserve"> 1.punktā noteiktajam tvērumam</w:t>
            </w:r>
            <w:r w:rsidR="00BD4449">
              <w:t xml:space="preserve">, </w:t>
            </w:r>
            <w:r w:rsidR="0000714E">
              <w:t xml:space="preserve">tādēļ </w:t>
            </w:r>
            <w:r w:rsidR="00BD4449">
              <w:t xml:space="preserve">nepieciešams </w:t>
            </w:r>
            <w:r w:rsidR="00F062AE">
              <w:t xml:space="preserve">to </w:t>
            </w:r>
            <w:r w:rsidR="00BD4449">
              <w:t>precizēt</w:t>
            </w:r>
            <w:r w:rsidR="00BB3414">
              <w:t xml:space="preserve">. </w:t>
            </w:r>
            <w:r w:rsidR="00270555">
              <w:t>Neatbalstām veidot jaunu būvnormatīvu par transporta būvēm</w:t>
            </w:r>
            <w:r w:rsidR="00AE1AC2">
              <w:t>, lai nesadrumstalotu vēl vairāk būvniecības regulējumu, tādēļ uzskatām, ka visas būtiskās prasības būvēm</w:t>
            </w:r>
            <w:r w:rsidR="0000714E">
              <w:t>, tai skaitā transporta</w:t>
            </w:r>
            <w:r w:rsidR="00DF6F9C">
              <w:t xml:space="preserve"> (kas jau šobrīd ir definētas atsevišķā nodaļā)</w:t>
            </w:r>
            <w:r w:rsidR="00AE1AC2">
              <w:t xml:space="preserve"> ir jānosaka vienā būvnormatīvā</w:t>
            </w:r>
            <w:r w:rsidR="00DE6DA2">
              <w:t xml:space="preserve">, kā arī būtu nepieciešams papildināt ar </w:t>
            </w:r>
            <w:r w:rsidR="00A86AA5">
              <w:t>attiecīgām prasībām.</w:t>
            </w:r>
          </w:p>
        </w:tc>
      </w:tr>
      <w:tr w:rsidR="00ED37CC" w14:paraId="4CC7AFBF" w14:textId="77777777">
        <w:tc>
          <w:tcPr>
            <w:tcW w:w="750" w:type="dxa"/>
            <w:shd w:val="clear" w:color="auto" w:fill="FFFFFF"/>
            <w:noWrap/>
            <w:tcMar>
              <w:top w:w="75" w:type="dxa"/>
              <w:left w:w="75" w:type="dxa"/>
              <w:bottom w:w="75" w:type="dxa"/>
              <w:right w:w="75" w:type="dxa"/>
            </w:tcMar>
            <w:vAlign w:val="center"/>
          </w:tcPr>
          <w:p w14:paraId="2C3BFCE3" w14:textId="77777777" w:rsidR="00ED37CC" w:rsidRDefault="00103420">
            <w:pPr>
              <w:jc w:val="center"/>
            </w:pPr>
            <w:r>
              <w:lastRenderedPageBreak/>
              <w:t>3.</w:t>
            </w:r>
          </w:p>
        </w:tc>
        <w:tc>
          <w:tcPr>
            <w:tcW w:w="4055" w:type="dxa"/>
            <w:shd w:val="clear" w:color="auto" w:fill="FFFFFF"/>
            <w:noWrap/>
            <w:tcMar>
              <w:top w:w="75" w:type="dxa"/>
              <w:left w:w="75" w:type="dxa"/>
              <w:bottom w:w="75" w:type="dxa"/>
              <w:right w:w="75" w:type="dxa"/>
            </w:tcMar>
            <w:vAlign w:val="center"/>
          </w:tcPr>
          <w:p w14:paraId="14616D74" w14:textId="77777777" w:rsidR="00ED37CC" w:rsidRDefault="00103420">
            <w:pPr>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120D7442" w14:textId="77777777" w:rsidR="00CF34EF" w:rsidRDefault="00103420" w:rsidP="009D33AF">
            <w:r>
              <w:t>Iebildums par 1.3. punktu - papildināt noteikumus ar 172.</w:t>
            </w:r>
            <w:r>
              <w:rPr>
                <w:vertAlign w:val="superscript"/>
              </w:rPr>
              <w:t>1</w:t>
            </w:r>
            <w:r>
              <w:t>, 172.</w:t>
            </w:r>
            <w:r>
              <w:rPr>
                <w:vertAlign w:val="superscript"/>
              </w:rPr>
              <w:t>2</w:t>
            </w:r>
            <w:r>
              <w:t> un 172.</w:t>
            </w:r>
            <w:r>
              <w:rPr>
                <w:vertAlign w:val="superscript"/>
              </w:rPr>
              <w:t>3</w:t>
            </w:r>
            <w:r>
              <w:t> punktu šādā redakcijā:</w:t>
            </w:r>
            <w:r>
              <w:br/>
            </w:r>
          </w:p>
          <w:p w14:paraId="7F1CB2C2" w14:textId="77777777" w:rsidR="00CF34EF" w:rsidRDefault="00103420" w:rsidP="009D33AF">
            <w:r>
              <w:t>No piedāvātās redakcijas nav saprotams, kas sedz izmaksas par kabeļu kanalizācijas pārbūvi. Nav pieņemami, ka pašvaldībai būtu jāizbūvē kabeļu kanalizācija komersanta vajadzībām. Pašvaldības bieži izmanto Eiropas Savienības (ES) finansējumu ielu pārbūvei, kur stingri aizliegts ieguldīt ES finanšu līdzekļus svešā īpašumā, t. i., kabeļu kanalizācijā, kas pieder telekomunikāciju operatoram. Turklāt, ja kabeļu kanalizācija tiek izbūvēta papildus, to nevarēs iznomāt, jo parasti vismaz piecus gadus pēc ES līdzfinansēta projekta nodošanas nav atļauts gūt peļņu.</w:t>
            </w:r>
            <w:r>
              <w:br/>
            </w:r>
          </w:p>
          <w:p w14:paraId="552E076A" w14:textId="0B02AF0C" w:rsidR="009D33AF" w:rsidRDefault="00103420" w:rsidP="009D33AF">
            <w:r>
              <w:t xml:space="preserve">Tāpat uzsveram, ka norādītās izmaksas ~2500 €/km nav objektīvas, jo jāņem vērā arī projektēšanas izmaksas (ceļu būvinženieris komunikācijas neprojektē), kā arī fakts, ka krustojumos jāparedz kabeļu kanalizācijas akas un jārēķinās ar pašas komunikācijas izbūves izmaksām. Ielu pārbūves gadījumā krustojumos var paredzēt rezerves </w:t>
            </w:r>
            <w:proofErr w:type="spellStart"/>
            <w:r>
              <w:t>aizsargcaurules</w:t>
            </w:r>
            <w:proofErr w:type="spellEnd"/>
            <w:r>
              <w:t xml:space="preserve">, kuras vēlāk var izmantot attiecīgie komersanti. Tomēr, ja tiek noteikts, ka </w:t>
            </w:r>
            <w:proofErr w:type="spellStart"/>
            <w:r>
              <w:t>jaunbūvējamu</w:t>
            </w:r>
            <w:proofErr w:type="spellEnd"/>
            <w:r>
              <w:t xml:space="preserve"> vai būtiski pārbūvējamu ielu gadījumā jāparedz kopīga kanalizācija ārējiem inženiertīkliem, būtu jāprecizē, par kādiem tīkliem ir runa. Vienā kopīgā kanalizācijā iespējams ievietot tikai vājstrāvu tīklus, jo katram inženiertīklam ir savs </w:t>
            </w:r>
            <w:proofErr w:type="spellStart"/>
            <w:r>
              <w:t>iebūves</w:t>
            </w:r>
            <w:proofErr w:type="spellEnd"/>
            <w:r>
              <w:t xml:space="preserve"> dziļums, tehniskās prasības un pieslēguma vietas pie īpašumiem.</w:t>
            </w:r>
            <w:r>
              <w:br/>
              <w:t>Tāpat būtu jānoskaidro, vai prasība par kabeļu kanalizācijas izbūvi attieksies arī uz privātpersonām, kas izbūvē ceļus.</w:t>
            </w:r>
            <w:r>
              <w:br/>
            </w:r>
          </w:p>
          <w:p w14:paraId="78B0BE93" w14:textId="3271DCBD" w:rsidR="00ED37CC" w:rsidRDefault="00103420" w:rsidP="009D33AF">
            <w:r>
              <w:t>Ja tiek paredzēta rezerves kabeļu kanalizācija, 40–50 mm diametra caurules nav efektīvas — jāizvēlas lielāks diametrs.</w:t>
            </w:r>
            <w:r>
              <w:br/>
            </w:r>
          </w:p>
        </w:tc>
        <w:tc>
          <w:tcPr>
            <w:tcW w:w="1650" w:type="dxa"/>
            <w:shd w:val="clear" w:color="auto" w:fill="FFFFFF"/>
            <w:noWrap/>
            <w:tcMar>
              <w:top w:w="75" w:type="dxa"/>
              <w:left w:w="75" w:type="dxa"/>
              <w:bottom w:w="75" w:type="dxa"/>
              <w:right w:w="75" w:type="dxa"/>
            </w:tcMar>
            <w:vAlign w:val="center"/>
          </w:tcPr>
          <w:p w14:paraId="2F8BF986" w14:textId="2E6EF8FA" w:rsidR="00ED37CC" w:rsidRDefault="00BD2255">
            <w:pPr>
              <w:jc w:val="left"/>
            </w:pPr>
            <w:r>
              <w:t>Daļēji ņemts vērā</w:t>
            </w:r>
          </w:p>
        </w:tc>
        <w:tc>
          <w:tcPr>
            <w:tcW w:w="4056" w:type="dxa"/>
            <w:shd w:val="clear" w:color="auto" w:fill="FFFFFF"/>
            <w:noWrap/>
            <w:tcMar>
              <w:top w:w="75" w:type="dxa"/>
              <w:left w:w="75" w:type="dxa"/>
              <w:bottom w:w="75" w:type="dxa"/>
              <w:right w:w="75" w:type="dxa"/>
            </w:tcMar>
            <w:vAlign w:val="center"/>
          </w:tcPr>
          <w:p w14:paraId="4A339A4E" w14:textId="0534A830" w:rsidR="00F0257A" w:rsidRDefault="003056A8" w:rsidP="00095272">
            <w:r>
              <w:t>Būvējot jaunu pašvaldības ielu, rezerves kabeļu kanalizācijas īpašnieks bū</w:t>
            </w:r>
            <w:r w:rsidR="00095272">
              <w:t>s</w:t>
            </w:r>
            <w:r>
              <w:t xml:space="preserve"> pats ielas īpašnieks, kas </w:t>
            </w:r>
            <w:r w:rsidR="004F2FC3">
              <w:t xml:space="preserve">to varētu pēcāk </w:t>
            </w:r>
            <w:r w:rsidR="00103DF6">
              <w:t>iznomāt elektronisko sakaru komersantiem.</w:t>
            </w:r>
            <w:r w:rsidR="00F6028B">
              <w:t xml:space="preserve"> Regulējums nosaka tehniskās prasības ielas</w:t>
            </w:r>
            <w:r w:rsidR="00BD5274">
              <w:t xml:space="preserve"> būvniecības gadījumā</w:t>
            </w:r>
            <w:r w:rsidR="007E65E7">
              <w:t>,</w:t>
            </w:r>
            <w:r w:rsidR="00BD5274">
              <w:t xml:space="preserve"> </w:t>
            </w:r>
            <w:r w:rsidR="007E65E7">
              <w:t xml:space="preserve">kuras </w:t>
            </w:r>
            <w:r w:rsidR="00BD5274">
              <w:t>ir saistošas jebkuram bū</w:t>
            </w:r>
            <w:r w:rsidR="006B5FB8">
              <w:t xml:space="preserve">vniecības ierosinātājam neatkarīgi vai ielu būvē pati pašvaldība vai to veic </w:t>
            </w:r>
            <w:r w:rsidR="0095601F">
              <w:t>privātpersona balstoties uz vienošanos.</w:t>
            </w:r>
          </w:p>
          <w:p w14:paraId="256D088E" w14:textId="7AB38DB7" w:rsidR="00D74B6D" w:rsidRDefault="00AB1CE6" w:rsidP="00095272">
            <w:r>
              <w:t>Savukārt iela</w:t>
            </w:r>
            <w:r w:rsidR="004F2FC3">
              <w:t>s</w:t>
            </w:r>
            <w:r>
              <w:t xml:space="preserve"> pārbūves gadījumā</w:t>
            </w:r>
            <w:r w:rsidR="00483776">
              <w:t>, ir jāvērtē esoš</w:t>
            </w:r>
            <w:r w:rsidR="0091526E">
              <w:t>ie</w:t>
            </w:r>
            <w:r w:rsidR="00483776">
              <w:t xml:space="preserve"> inženiertīkl</w:t>
            </w:r>
            <w:r w:rsidR="0091526E">
              <w:t>i ielas sarkanajās līnijās</w:t>
            </w:r>
            <w:r w:rsidR="00EF3FF4">
              <w:t>. Ja nav iespējams tehniski mainīt</w:t>
            </w:r>
            <w:r w:rsidR="00945B8D">
              <w:t xml:space="preserve"> risinājumu</w:t>
            </w:r>
            <w:r w:rsidR="00EF3FF4">
              <w:t xml:space="preserve"> vai nav </w:t>
            </w:r>
            <w:r w:rsidR="00D834CB">
              <w:t>panākama vienošanās ar inženiertīklu turētājiem</w:t>
            </w:r>
            <w:r w:rsidR="00945B8D">
              <w:t>, tad ierīko jaunu papildus rezerves</w:t>
            </w:r>
            <w:r w:rsidR="00D834CB">
              <w:t xml:space="preserve"> kabeļu kanalizāciju</w:t>
            </w:r>
            <w:r w:rsidR="00C27B18">
              <w:t xml:space="preserve">, ja, ievērojot prasības </w:t>
            </w:r>
            <w:r w:rsidR="00DF5D2C">
              <w:t>i</w:t>
            </w:r>
            <w:r w:rsidR="00C27B18" w:rsidRPr="00C27B18">
              <w:t>nženiertīklu izvietojum</w:t>
            </w:r>
            <w:r w:rsidR="00DF5D2C">
              <w:t>am, ir pietiekoša vieta.</w:t>
            </w:r>
            <w:r w:rsidR="009E45EF">
              <w:t xml:space="preserve"> Regulējuma noteiktās tehniskās prasības ir vērst</w:t>
            </w:r>
            <w:r w:rsidR="00910394">
              <w:t>as</w:t>
            </w:r>
            <w:r w:rsidR="002E4DB1">
              <w:t>, lai</w:t>
            </w:r>
            <w:r w:rsidR="00910394">
              <w:t xml:space="preserve"> </w:t>
            </w:r>
            <w:r w:rsidR="0027220B" w:rsidRPr="0027220B">
              <w:t xml:space="preserve">nodrošinātu nākotnes perspektīvas attīstīt elektronisko sakaru inženiertīklus vai cita veida pazemes inženiertīklu, neveicot </w:t>
            </w:r>
            <w:r w:rsidR="002E4DB1">
              <w:t xml:space="preserve">pēcāk </w:t>
            </w:r>
            <w:r w:rsidR="0027220B" w:rsidRPr="0027220B">
              <w:t>būtiskus ielas pārbūves</w:t>
            </w:r>
            <w:r w:rsidR="00E3701D">
              <w:t xml:space="preserve"> darbus</w:t>
            </w:r>
            <w:r w:rsidR="0027220B" w:rsidRPr="0027220B">
              <w:t>.</w:t>
            </w:r>
          </w:p>
          <w:p w14:paraId="27F067B7" w14:textId="7766A0C2" w:rsidR="00ED37CC" w:rsidRDefault="00D879B0" w:rsidP="00095272">
            <w:r>
              <w:t>P</w:t>
            </w:r>
            <w:r w:rsidR="00095272">
              <w:t>rojektā p</w:t>
            </w:r>
            <w:r>
              <w:t>recizēts rezerves kabeļu kanalizācijas diametrs.</w:t>
            </w:r>
          </w:p>
        </w:tc>
      </w:tr>
      <w:tr w:rsidR="00ED37CC" w14:paraId="4A4C3602" w14:textId="77777777">
        <w:tc>
          <w:tcPr>
            <w:tcW w:w="750" w:type="dxa"/>
            <w:shd w:val="clear" w:color="auto" w:fill="FFFFFF"/>
            <w:noWrap/>
            <w:tcMar>
              <w:top w:w="75" w:type="dxa"/>
              <w:left w:w="75" w:type="dxa"/>
              <w:bottom w:w="75" w:type="dxa"/>
              <w:right w:w="75" w:type="dxa"/>
            </w:tcMar>
            <w:vAlign w:val="center"/>
          </w:tcPr>
          <w:p w14:paraId="23AE0B2E" w14:textId="77777777" w:rsidR="00ED37CC" w:rsidRDefault="00103420">
            <w:pPr>
              <w:jc w:val="center"/>
            </w:pPr>
            <w:r>
              <w:t>4.</w:t>
            </w:r>
          </w:p>
        </w:tc>
        <w:tc>
          <w:tcPr>
            <w:tcW w:w="4055" w:type="dxa"/>
            <w:shd w:val="clear" w:color="auto" w:fill="FFFFFF"/>
            <w:noWrap/>
            <w:tcMar>
              <w:top w:w="75" w:type="dxa"/>
              <w:left w:w="75" w:type="dxa"/>
              <w:bottom w:w="75" w:type="dxa"/>
              <w:right w:w="75" w:type="dxa"/>
            </w:tcMar>
            <w:vAlign w:val="center"/>
          </w:tcPr>
          <w:p w14:paraId="66EFA08D" w14:textId="77777777" w:rsidR="00ED37CC" w:rsidRDefault="00103420">
            <w:pPr>
              <w:jc w:val="left"/>
            </w:pPr>
            <w:r>
              <w:t>*AS "Sadales tīkls"</w:t>
            </w:r>
          </w:p>
        </w:tc>
        <w:tc>
          <w:tcPr>
            <w:tcW w:w="4056" w:type="dxa"/>
            <w:shd w:val="clear" w:color="auto" w:fill="FFFFFF"/>
            <w:noWrap/>
            <w:tcMar>
              <w:top w:w="75" w:type="dxa"/>
              <w:left w:w="75" w:type="dxa"/>
              <w:bottom w:w="75" w:type="dxa"/>
              <w:right w:w="75" w:type="dxa"/>
            </w:tcMar>
            <w:vAlign w:val="center"/>
          </w:tcPr>
          <w:p w14:paraId="3F0924BE" w14:textId="77777777" w:rsidR="009D33AF" w:rsidRDefault="00103420" w:rsidP="009D33AF">
            <w:r>
              <w:t>Par Grozījumu 1.3 punktu:</w:t>
            </w:r>
            <w:r>
              <w:br/>
            </w:r>
          </w:p>
          <w:p w14:paraId="11EF2DF2" w14:textId="5DC47AF7" w:rsidR="00ED37CC" w:rsidRDefault="00103420" w:rsidP="009D33AF">
            <w:r>
              <w:t>AS "Sadales tīkls" kopumā atbalsta Ekonomikas ministrijas virzīto iniciatīvu par elektronisko sakaru tīklu kopējas kabeļu kanalizācijas ierīkošanu. Lai gan tehnisku apsvērumu dēļ nav iespējams izmantot vienotu kabeļu kanalizāciju elektronisko sakaru tīklu un elektroapgādes tīklu kabeļu izvietošanai, tomēr kopējas elektronisko sakaru tīklu kabeļu kanalizācijas izveide jaunās ielās nodrošinātu to kompaktāku izvietošanu, tādā veidā vienkāršojot arī citu inženiertīklu ierīkošanu ierobežotajā ielas teritorijā.</w:t>
            </w:r>
            <w:r>
              <w:br/>
              <w:t>No piedāvātajām redakcijām noprotams, ka mērķis ir nodrošināt elektronisko sakaru tīklu kabeļu kanalizāciju ielas garenvirzienā. Pazemes inženiertīklu turētāji arvien biežāk saskaras ar ierobežojumiem arī ielu šķērsojumu izveidei. Arvien vairāk pašvaldības nosaka ierobežojumus vai īpašas prasības attiecībā uz ielas seguma atjaunošanu pēc inženiertīklu ierīkošanas, kas rada būtisku inženiertīkla izbūves izmaksu sadārdzinājumu. Šādi ierobežojumi un tehniskās prasības visbūtiskāk skar pašvaldību iedzīvotājus un uzņēmējus - personas, kas vēlas ierīkot elektroenerģijas sistēmas pieslēgumu. Ja inženiertīkla turētājs ielas izbūves un pārbūves projekta laikā var izvērtēt nepieciešamību un veikt sava esošā inženiertīkla pārbūvi kopā ar ielas izbūvi, tad nav iespējams paredzēt un plānot jauna sistēmas pieslēguma izbūves risinājumus. No sistēmas operatora pieredzes secināms, ka gadījumos, ja sistēmas pieslēguma ierīkošanai nepieciešams izveidot ielas šķērsojumu, ielas seguma atjaunošanas izmaksas var veidot līdz pat 50% no kopējām pieslēguma ierīkošanas izmaksām. Daži konkrēti piemēri no Rīgas pilsētas teritorijas – pieslēgumam, kura kopējās plānotās ierīkošanas izmaksas ir 4000 EUR, ielas seguma atjaunošanas izmaksas veido 2200 EUR, vai citā gadījumā - pieslēgumam, kura kopējās izmaksas ir 9000 EUR, ielas seguma atjaunošanas izmaksas veido 4000 EUR.</w:t>
            </w:r>
            <w:r>
              <w:br/>
              <w:t>Ņemot vērā iepriekš minētos apsvērumus, AS "Sadales tīkls" ierosina papildināt Noteikumu projektā piedāvāto 172.1 punkta redakciju ar jaunu trešo apakšpunktu, kas paredzētu prasību jaunās ielās ar noteiktu soli (piemēram ik pēc 100m) ierīkot rezerves kabeļu kanalizācijas cauruli ielas šķērsvirzienā, kas būtu izmantojamas arī elektroapgādes kabeļu šķērsojumu izveidošanai (nepieciešamais kabeļu kanalizācijas diametrs 125 mm). Provizoriskā papildus apakšpunkta redakcija varētu būt šāda: "3. ielas šķērsvirzienā ierīko elektroapgādes kabeļu rezerves kanalizāciju ar minimālo diametru 125 mm ar soli ne lielāku par 150m.".</w:t>
            </w:r>
          </w:p>
        </w:tc>
        <w:tc>
          <w:tcPr>
            <w:tcW w:w="1650" w:type="dxa"/>
            <w:shd w:val="clear" w:color="auto" w:fill="FFFFFF"/>
            <w:noWrap/>
            <w:tcMar>
              <w:top w:w="75" w:type="dxa"/>
              <w:left w:w="75" w:type="dxa"/>
              <w:bottom w:w="75" w:type="dxa"/>
              <w:right w:w="75" w:type="dxa"/>
            </w:tcMar>
            <w:vAlign w:val="center"/>
          </w:tcPr>
          <w:p w14:paraId="1FC265E6" w14:textId="1CEBFB9C" w:rsidR="00ED37CC" w:rsidRDefault="00C2602A">
            <w:pPr>
              <w:jc w:val="left"/>
            </w:pPr>
            <w:r>
              <w:t>Nav ņemts vērā</w:t>
            </w:r>
          </w:p>
        </w:tc>
        <w:tc>
          <w:tcPr>
            <w:tcW w:w="4056" w:type="dxa"/>
            <w:shd w:val="clear" w:color="auto" w:fill="FFFFFF"/>
            <w:noWrap/>
            <w:tcMar>
              <w:top w:w="75" w:type="dxa"/>
              <w:left w:w="75" w:type="dxa"/>
              <w:bottom w:w="75" w:type="dxa"/>
              <w:right w:w="75" w:type="dxa"/>
            </w:tcMar>
            <w:vAlign w:val="center"/>
          </w:tcPr>
          <w:p w14:paraId="0DFB09C7" w14:textId="1059064E" w:rsidR="000703C3" w:rsidRDefault="000703C3" w:rsidP="004D5384">
            <w:r w:rsidRPr="000703C3">
              <w:t>Projekt</w:t>
            </w:r>
            <w:r w:rsidR="003E67E5">
              <w:t>s</w:t>
            </w:r>
            <w:r w:rsidRPr="000703C3">
              <w:t xml:space="preserve"> </w:t>
            </w:r>
            <w:r w:rsidR="005C5CB0">
              <w:t xml:space="preserve">izstrādāts, lai izpildītu </w:t>
            </w:r>
            <w:r w:rsidR="005C5CB0" w:rsidRPr="000703C3">
              <w:t>Ministru kabineta 2024.gada 4.jūnija sēdes protokola Nr.</w:t>
            </w:r>
            <w:r w:rsidR="00854A6C">
              <w:t> </w:t>
            </w:r>
            <w:r w:rsidR="005C5CB0" w:rsidRPr="000703C3">
              <w:t>23 66.</w:t>
            </w:r>
            <w:r w:rsidR="00854A6C">
              <w:t> </w:t>
            </w:r>
            <w:r w:rsidR="005C5CB0" w:rsidRPr="000703C3">
              <w:t>§ 7.</w:t>
            </w:r>
            <w:r w:rsidR="00854A6C">
              <w:t> </w:t>
            </w:r>
            <w:r w:rsidR="005C5CB0" w:rsidRPr="000703C3">
              <w:t>punktu</w:t>
            </w:r>
            <w:r w:rsidR="0086279A">
              <w:t xml:space="preserve">, samazinot </w:t>
            </w:r>
            <w:r w:rsidRPr="000703C3">
              <w:t xml:space="preserve"> administratīvo slogu elektronisko sakaru tīkla ierīkošanai pašvaldības ielu būvniecības gadījumā, nodrošinot ārējiem inženiertīkliem rezerves</w:t>
            </w:r>
            <w:r w:rsidR="0009154D">
              <w:t xml:space="preserve"> </w:t>
            </w:r>
            <w:r w:rsidRPr="000703C3">
              <w:t>kanalizāciju (vietu, kur ierīkot elektronisko sakaru tīklu).</w:t>
            </w:r>
          </w:p>
          <w:p w14:paraId="5205431F" w14:textId="77777777" w:rsidR="000703C3" w:rsidRDefault="000703C3" w:rsidP="004D5384"/>
          <w:p w14:paraId="65D061FB" w14:textId="6067CAA2" w:rsidR="00ED37CC" w:rsidRDefault="00E36162" w:rsidP="004D5384">
            <w:r>
              <w:t xml:space="preserve">Jautājumi par </w:t>
            </w:r>
            <w:r w:rsidR="002972F3">
              <w:t xml:space="preserve">pašvaldību noteiktiem ierobežojumiem (īpašām prasībām) </w:t>
            </w:r>
            <w:r w:rsidR="009E10CE" w:rsidRPr="00703036">
              <w:t>ielas seguma atjaunošan</w:t>
            </w:r>
            <w:r w:rsidR="00D311FF">
              <w:t>ā</w:t>
            </w:r>
            <w:r w:rsidR="009E10CE" w:rsidRPr="00703036">
              <w:t xml:space="preserve"> pēc inženiertīklu ierīkošanas</w:t>
            </w:r>
            <w:r w:rsidR="00136FF9">
              <w:t xml:space="preserve"> </w:t>
            </w:r>
            <w:r w:rsidR="00D14628">
              <w:t xml:space="preserve">risināmi atsevišķi, </w:t>
            </w:r>
            <w:r w:rsidR="000B79CB">
              <w:t xml:space="preserve">apspriežot </w:t>
            </w:r>
            <w:proofErr w:type="spellStart"/>
            <w:r w:rsidR="000B79CB">
              <w:t>problēmsituāciju</w:t>
            </w:r>
            <w:proofErr w:type="spellEnd"/>
            <w:r w:rsidR="00D07A9E">
              <w:t xml:space="preserve"> ar LPS un LPPA.</w:t>
            </w:r>
          </w:p>
          <w:p w14:paraId="7FCBD8E1" w14:textId="1E6752A9" w:rsidR="00703036" w:rsidRDefault="00703036">
            <w:pPr>
              <w:jc w:val="left"/>
            </w:pPr>
          </w:p>
        </w:tc>
      </w:tr>
      <w:tr w:rsidR="00F63246" w14:paraId="372F811D" w14:textId="77777777">
        <w:tc>
          <w:tcPr>
            <w:tcW w:w="750" w:type="dxa"/>
            <w:shd w:val="clear" w:color="auto" w:fill="FFFFFF"/>
            <w:noWrap/>
            <w:tcMar>
              <w:top w:w="75" w:type="dxa"/>
              <w:left w:w="75" w:type="dxa"/>
              <w:bottom w:w="75" w:type="dxa"/>
              <w:right w:w="75" w:type="dxa"/>
            </w:tcMar>
            <w:vAlign w:val="center"/>
          </w:tcPr>
          <w:p w14:paraId="30A54CE7" w14:textId="10A50AF9" w:rsidR="00F63246" w:rsidRDefault="00E851CD">
            <w:pPr>
              <w:jc w:val="center"/>
            </w:pPr>
            <w:r>
              <w:t>5.</w:t>
            </w:r>
          </w:p>
        </w:tc>
        <w:tc>
          <w:tcPr>
            <w:tcW w:w="4055" w:type="dxa"/>
            <w:shd w:val="clear" w:color="auto" w:fill="FFFFFF"/>
            <w:noWrap/>
            <w:tcMar>
              <w:top w:w="75" w:type="dxa"/>
              <w:left w:w="75" w:type="dxa"/>
              <w:bottom w:w="75" w:type="dxa"/>
              <w:right w:w="75" w:type="dxa"/>
            </w:tcMar>
            <w:vAlign w:val="center"/>
          </w:tcPr>
          <w:p w14:paraId="5083F8C8" w14:textId="560DC87B" w:rsidR="00F63246" w:rsidRDefault="00E851CD">
            <w:pPr>
              <w:jc w:val="left"/>
            </w:pPr>
            <w:r w:rsidRPr="00E851CD">
              <w:t>SIA “BITE Latvija”</w:t>
            </w:r>
            <w:r>
              <w:t xml:space="preserve"> (ārpus TAP)</w:t>
            </w:r>
          </w:p>
        </w:tc>
        <w:tc>
          <w:tcPr>
            <w:tcW w:w="4056" w:type="dxa"/>
            <w:shd w:val="clear" w:color="auto" w:fill="FFFFFF"/>
            <w:noWrap/>
            <w:tcMar>
              <w:top w:w="75" w:type="dxa"/>
              <w:left w:w="75" w:type="dxa"/>
              <w:bottom w:w="75" w:type="dxa"/>
              <w:right w:w="75" w:type="dxa"/>
            </w:tcMar>
            <w:vAlign w:val="center"/>
          </w:tcPr>
          <w:p w14:paraId="05C367F8" w14:textId="0D701922" w:rsidR="00A576A1" w:rsidRDefault="00A576A1" w:rsidP="00DD03EE">
            <w:pPr>
              <w:jc w:val="left"/>
            </w:pPr>
            <w:r w:rsidRPr="00A576A1">
              <w:t>SIA “BITE Latvija” sniedz šādus priekšlikumus.</w:t>
            </w:r>
          </w:p>
          <w:p w14:paraId="76218D9C" w14:textId="7DA6DEEF" w:rsidR="00DD03EE" w:rsidRPr="00DD03EE" w:rsidRDefault="00DD03EE" w:rsidP="009D33AF">
            <w:r w:rsidRPr="00DD03EE">
              <w:t>Attiecīgie grozījumi ir nozīmīgs solis publiskās infrastruktūras attīstībā, paredzot rezerves kabeļu kanalizācijas izbūvi nevis konkrēta komersanta, bet gan sabiedrības kopējām vajadzībām. Šāda kanalizācijas izbūve pašvaldības ielu pārbūves laikā ir ilgtermiņa sabiedriska investīcija, kas novērš nepieciešamību nākotnē atkārtoti pārrakt ielas, samazina būvniecības izmaksas un satiksmes ierobežojumus, tādējādi uzskatāma par labo praksi.</w:t>
            </w:r>
          </w:p>
          <w:p w14:paraId="0042893F" w14:textId="77777777" w:rsidR="00DD03EE" w:rsidRPr="00DD03EE" w:rsidRDefault="00DD03EE" w:rsidP="009D33AF">
            <w:r w:rsidRPr="00DD03EE">
              <w:t>Līdz ar to atbalstām ieceri iekļaut prasības par rezerves kabeļu kanalizācijas izbūvi, projektējot jaunas pašvaldības ielas vai veicot pārbūvi. Tomēr uzskatām, ka piedāvātie tehniskie parametri (īpaši cauruļu diametrs un izbūves apjoms) ir nepietiekami un neatbilst mūsdienu un nākotnes vajadzībām elektronisko sakaru infrastruktūras attīstībai.</w:t>
            </w:r>
          </w:p>
          <w:p w14:paraId="1397D4D6" w14:textId="77777777" w:rsidR="00DD03EE" w:rsidRPr="00DD03EE" w:rsidRDefault="00DD03EE" w:rsidP="009D33AF">
            <w:pPr>
              <w:numPr>
                <w:ilvl w:val="0"/>
                <w:numId w:val="1"/>
              </w:numPr>
            </w:pPr>
            <w:r w:rsidRPr="00DD03EE">
              <w:t>Projekta redakcija paredz 40–50 mm diametra rezerves cauruļu izbūvi. Mūsu ieskatā šāds diametrs ir neadekvāti mazs un praktiski neatrisina nākotnes infrastruktūras vajadzības, jo šādu cauruļu kapacitāte un lietderība ir ierobežota. Tāpēc piedāvājam noteikt, ka vietējas nozīmes ielās tiek izbūvētas vismaz divas ar ievilkšanas tehnoloģiju izbūvētas 100 mm diametra caurules, savukārt pilsētas vai ciema nozīmes, maģistrālajās un galvenajās ielās – katrai pusei vismaz divas 100 mm caurules. Šāds risinājums atbilst mūsdienu tirgus standartiem un nodrošina ilgtermiņa lietderību. 100 mm diametrs ir vispārpieņemts standarts lielo operatoru (TET, LVRTC, BITE) infrastruktūrā, un šādas caurules kalpo vairākas desmitgades. Turklāt 1 vai 2 cauruļu izbūves izmaksu starpība ir minimāla, bet kapacitātes ieguvums ir līdz pat piecām reizēm lielāks. Tā kā kabeļu kanalizācijas izbūves prasībās jau šobrīd ir noteikta minimālā rezerve, ko operatoriem jāparedz citiem operatoriem, jaunās prasības būtu jāsaskaņo ar šobrīd spēkā esošajiem normatīviem.</w:t>
            </w:r>
          </w:p>
          <w:p w14:paraId="42CCC9E5" w14:textId="77777777" w:rsidR="00DD03EE" w:rsidRPr="00DD03EE" w:rsidRDefault="00DD03EE" w:rsidP="009D33AF">
            <w:pPr>
              <w:numPr>
                <w:ilvl w:val="0"/>
                <w:numId w:val="1"/>
              </w:numPr>
            </w:pPr>
            <w:r w:rsidRPr="00DD03EE">
              <w:t xml:space="preserve">Projekta redakcija paredz aku izbūvi ar soli līdz 100 metriem. Mēs atbalstām šādas prasības iekļaušanu, tomēr uzskatām, ka nepieciešams precizēt minimālos aku izmērus un izvietošanas principus, lai nodrošinātu praktisku un drošu to izmantošanu. Akām jābūt ar iekšējo diametru vismaz 930 mm un iekšējo dziļumu vismaz 1300 mm. Tāpat būtiski paredzēt savienojumu ar esošo infrastruktūru – trases sākumā, beigās un ik pēc 500 metriem jānodrošina savienojums ar esošo operatoru kabeļu kanalizācijas akām (kamēr operators no šādas sadarbības neatsakās). Šāds risinājums ļaus efektīvi integrēt jaunizbūvētos posmus esošajā infrastruktūrā un nodrošinās to praktisku </w:t>
            </w:r>
            <w:proofErr w:type="spellStart"/>
            <w:r w:rsidRPr="00DD03EE">
              <w:t>izmantojamību</w:t>
            </w:r>
            <w:proofErr w:type="spellEnd"/>
            <w:r w:rsidRPr="00DD03EE">
              <w:t>.</w:t>
            </w:r>
          </w:p>
          <w:p w14:paraId="456A2838" w14:textId="77777777" w:rsidR="00DD03EE" w:rsidRPr="00DD03EE" w:rsidRDefault="00DD03EE" w:rsidP="009D33AF">
            <w:pPr>
              <w:numPr>
                <w:ilvl w:val="0"/>
                <w:numId w:val="1"/>
              </w:numPr>
            </w:pPr>
            <w:r w:rsidRPr="00DD03EE">
              <w:t>Projekta redakcija paredz esošas kabeļu kanalizācijas pārbūvi kopīgā kanalizācijā. Mūsuprāt, šāds formulējums ir neskaidrs un praktiski neizpildāms. Ja ar to tiek domāta esošo operatoru, piemēram, TET, LVRTC un citu, infrastruktūras demontāža un aizstāšana ar kopīgu kanalizāciju, tad šāds risinājums būtu nepamatots un neefektīvs. Tas nav racionāls ne no izmaksu, ne no investīciju aizsardzības viedokļa. Tāpēc piedāvājam alternatīvu – saglabāt esošo infrastruktūru un, ja tehniski tas ir iespējams, paredzēt papildu rezerves kanalizācijas izbūvi saskaņā ar 172.1 punktu. Šāds risinājums būtu ekonomiski pamatotāks un ļautu attīstīt infrastruktūru pakāpeniski, nezaudējot jau esošos ieguldījumus.</w:t>
            </w:r>
          </w:p>
          <w:p w14:paraId="71EBF9B4" w14:textId="603AD59B" w:rsidR="00F63246" w:rsidRDefault="00DD03EE" w:rsidP="009D33AF">
            <w:pPr>
              <w:numPr>
                <w:ilvl w:val="0"/>
                <w:numId w:val="1"/>
              </w:numPr>
            </w:pPr>
            <w:r w:rsidRPr="00DD03EE">
              <w:t xml:space="preserve">Papildu apsvērumi. Šobrīd noteikumos nav skaidri definēti ievadi ēkām, un pilnīga ievadu neesamība būtiski samazina kabeļu kanalizācijas praktisko lietderību, jo caurules bez pieslēguma iespējām ēkām faktiski nevar tikt izmantotas. </w:t>
            </w:r>
          </w:p>
        </w:tc>
        <w:tc>
          <w:tcPr>
            <w:tcW w:w="1650" w:type="dxa"/>
            <w:shd w:val="clear" w:color="auto" w:fill="FFFFFF"/>
            <w:noWrap/>
            <w:tcMar>
              <w:top w:w="75" w:type="dxa"/>
              <w:left w:w="75" w:type="dxa"/>
              <w:bottom w:w="75" w:type="dxa"/>
              <w:right w:w="75" w:type="dxa"/>
            </w:tcMar>
            <w:vAlign w:val="center"/>
          </w:tcPr>
          <w:p w14:paraId="04D7618F" w14:textId="2562BAD5" w:rsidR="00F63246" w:rsidRDefault="00CA468F">
            <w:pPr>
              <w:jc w:val="left"/>
            </w:pPr>
            <w:r>
              <w:t>Ņemts vērā daļēji</w:t>
            </w:r>
          </w:p>
        </w:tc>
        <w:tc>
          <w:tcPr>
            <w:tcW w:w="4056" w:type="dxa"/>
            <w:shd w:val="clear" w:color="auto" w:fill="FFFFFF"/>
            <w:noWrap/>
            <w:tcMar>
              <w:top w:w="75" w:type="dxa"/>
              <w:left w:w="75" w:type="dxa"/>
              <w:bottom w:w="75" w:type="dxa"/>
              <w:right w:w="75" w:type="dxa"/>
            </w:tcMar>
            <w:vAlign w:val="center"/>
          </w:tcPr>
          <w:p w14:paraId="1B07AED3" w14:textId="0219C930" w:rsidR="00CA468F" w:rsidRDefault="00CA468F" w:rsidP="008732E1">
            <w:r>
              <w:t>Projekts nosaka minimālās tehniskās prasības</w:t>
            </w:r>
            <w:r w:rsidR="0062319E">
              <w:t xml:space="preserve"> rezerves</w:t>
            </w:r>
            <w:r w:rsidR="00B24F38">
              <w:t xml:space="preserve"> kabeļu </w:t>
            </w:r>
            <w:r w:rsidR="0062319E">
              <w:t xml:space="preserve"> kanal</w:t>
            </w:r>
            <w:r w:rsidR="0017489C">
              <w:t>izācijai</w:t>
            </w:r>
            <w:r w:rsidR="00804CF5">
              <w:t xml:space="preserve"> atbilstoši pašvaldību ielu iedalījumam</w:t>
            </w:r>
            <w:r w:rsidR="008732E1">
              <w:t xml:space="preserve">, </w:t>
            </w:r>
            <w:r w:rsidR="003552E4">
              <w:t>kas</w:t>
            </w:r>
            <w:r w:rsidR="008732E1">
              <w:t xml:space="preserve">, </w:t>
            </w:r>
            <w:r w:rsidR="0017489C">
              <w:t xml:space="preserve">attīstot </w:t>
            </w:r>
            <w:r w:rsidR="008732E1">
              <w:t>konkrēt</w:t>
            </w:r>
            <w:r w:rsidR="0017489C">
              <w:t>o</w:t>
            </w:r>
            <w:r w:rsidR="008732E1">
              <w:t xml:space="preserve"> teritorij</w:t>
            </w:r>
            <w:r w:rsidR="0017489C">
              <w:t>u</w:t>
            </w:r>
            <w:r w:rsidR="00CB1E6F">
              <w:t xml:space="preserve"> un veidojot jauno ielu tīklu</w:t>
            </w:r>
            <w:r w:rsidR="0017489C">
              <w:t xml:space="preserve">, </w:t>
            </w:r>
            <w:r w:rsidR="00E06F85">
              <w:t>neierobežo</w:t>
            </w:r>
            <w:r w:rsidR="00E06F85">
              <w:t xml:space="preserve"> </w:t>
            </w:r>
            <w:r w:rsidR="008732E1">
              <w:t>paredz</w:t>
            </w:r>
            <w:r w:rsidR="00E12308">
              <w:t>ēt</w:t>
            </w:r>
            <w:r w:rsidR="0062319E">
              <w:t xml:space="preserve"> </w:t>
            </w:r>
            <w:r w:rsidR="00E12308">
              <w:t>arī ar lielāku</w:t>
            </w:r>
            <w:r w:rsidR="0062319E">
              <w:t xml:space="preserve"> kapacitāti </w:t>
            </w:r>
            <w:r w:rsidR="00E12308">
              <w:t>un ierīkot vairāk</w:t>
            </w:r>
            <w:r w:rsidR="005F7923">
              <w:t>as</w:t>
            </w:r>
            <w:r w:rsidR="00E12308">
              <w:t xml:space="preserve"> </w:t>
            </w:r>
            <w:r w:rsidR="00B24F38">
              <w:t>rezerves kanalizācij</w:t>
            </w:r>
            <w:r w:rsidR="005F7923">
              <w:t>as</w:t>
            </w:r>
            <w:r w:rsidR="00E12308">
              <w:t xml:space="preserve">. Jānorāda, ka </w:t>
            </w:r>
            <w:r w:rsidR="00341B4A">
              <w:t xml:space="preserve">Latvijā </w:t>
            </w:r>
            <w:r w:rsidR="00FA6B8D">
              <w:t xml:space="preserve">apdzīvotas </w:t>
            </w:r>
            <w:r w:rsidR="00341B4A">
              <w:t>vietas</w:t>
            </w:r>
            <w:r w:rsidR="00FA6B8D">
              <w:t xml:space="preserve"> ir </w:t>
            </w:r>
            <w:r w:rsidR="00E15487">
              <w:t xml:space="preserve">ļoti </w:t>
            </w:r>
            <w:r w:rsidR="00FA6B8D">
              <w:t>dažādas</w:t>
            </w:r>
            <w:r w:rsidR="00341B4A">
              <w:t>,</w:t>
            </w:r>
            <w:r w:rsidR="00C55EC8">
              <w:t xml:space="preserve"> kur </w:t>
            </w:r>
            <w:r w:rsidR="002E5819">
              <w:t>attīstība</w:t>
            </w:r>
            <w:r w:rsidR="00C55EC8">
              <w:t xml:space="preserve"> viena ciema</w:t>
            </w:r>
            <w:r w:rsidR="00EB217A">
              <w:t xml:space="preserve"> ielai</w:t>
            </w:r>
            <w:r w:rsidR="00C55EC8">
              <w:t xml:space="preserve"> pret valstspilsēt</w:t>
            </w:r>
            <w:r w:rsidR="00EB217A">
              <w:t>as ielu</w:t>
            </w:r>
            <w:r w:rsidR="00341B4A">
              <w:t xml:space="preserve"> </w:t>
            </w:r>
            <w:r w:rsidR="002E5819">
              <w:t>var būt atšķirīga</w:t>
            </w:r>
            <w:r w:rsidR="00B6390F">
              <w:t>, t</w:t>
            </w:r>
            <w:r w:rsidR="00C146E9">
              <w:t>ādējādi n</w:t>
            </w:r>
            <w:r w:rsidR="00775874">
              <w:t>ebūtu samērīgi noteikt</w:t>
            </w:r>
            <w:r w:rsidR="00B6390F">
              <w:t xml:space="preserve"> </w:t>
            </w:r>
            <w:r w:rsidR="00FC528F">
              <w:t xml:space="preserve">visos gadījumos </w:t>
            </w:r>
            <w:r w:rsidR="00B6390F">
              <w:t>ierīkot vairākas rezerves kabeļu kanalizācijas.</w:t>
            </w:r>
          </w:p>
          <w:p w14:paraId="1E967B60" w14:textId="77777777" w:rsidR="0062319E" w:rsidRDefault="0062319E" w:rsidP="008732E1"/>
          <w:p w14:paraId="753073DF" w14:textId="77777777" w:rsidR="00F63246" w:rsidRDefault="00CA468F">
            <w:pPr>
              <w:jc w:val="left"/>
            </w:pPr>
            <w:r w:rsidRPr="00CA468F">
              <w:t>Projektā precizēts rezerves kabeļu kanalizācijas diametrs.</w:t>
            </w:r>
          </w:p>
          <w:p w14:paraId="703EA255" w14:textId="77777777" w:rsidR="00E65B8E" w:rsidRDefault="00E65B8E">
            <w:pPr>
              <w:jc w:val="left"/>
            </w:pPr>
          </w:p>
          <w:p w14:paraId="7A501A54" w14:textId="6DA91956" w:rsidR="00452383" w:rsidRDefault="001F3D3D" w:rsidP="00BB2A51">
            <w:r>
              <w:t xml:space="preserve">Tā kā rezerves </w:t>
            </w:r>
            <w:r w:rsidR="00452383">
              <w:t xml:space="preserve">kabeļu kanalizāciju netiek ierīkota kāda noteikta elektronisko sakaru komersantu vajadzībām, tad </w:t>
            </w:r>
            <w:r w:rsidR="00C82E82">
              <w:t xml:space="preserve">obligāta </w:t>
            </w:r>
            <w:r w:rsidR="00740657">
              <w:t>savienošana ar esošu</w:t>
            </w:r>
            <w:r w:rsidR="00C82E82">
              <w:t xml:space="preserve"> elektronisko sakaru</w:t>
            </w:r>
            <w:r w:rsidR="00740657">
              <w:t xml:space="preserve"> infrastruktūru nodrošinātu viena komersanta priekšrocības pret citu</w:t>
            </w:r>
            <w:r w:rsidR="00C82E82">
              <w:t xml:space="preserve">, kā arī </w:t>
            </w:r>
            <w:r w:rsidR="00CA561D">
              <w:t xml:space="preserve">tas nerisinātu </w:t>
            </w:r>
            <w:r w:rsidR="00161DCA">
              <w:t>situācij</w:t>
            </w:r>
            <w:r w:rsidR="00CA561D">
              <w:t>u</w:t>
            </w:r>
            <w:r w:rsidR="00161DCA">
              <w:t>, kad jaunas ielas būvniecīb</w:t>
            </w:r>
            <w:r w:rsidR="00E16C93">
              <w:t>as gadījumā</w:t>
            </w:r>
            <w:r w:rsidR="00161DCA">
              <w:t xml:space="preserve"> līdz tai nav </w:t>
            </w:r>
            <w:r w:rsidR="00CA561D">
              <w:t>neviena</w:t>
            </w:r>
            <w:r w:rsidR="00DB0635">
              <w:t xml:space="preserve"> esoša sakaru komersant</w:t>
            </w:r>
            <w:r w:rsidR="00BB2A51">
              <w:t>a</w:t>
            </w:r>
            <w:r w:rsidR="00DB0635">
              <w:t xml:space="preserve"> </w:t>
            </w:r>
            <w:r w:rsidR="009179C0">
              <w:t>inženiertīkla.</w:t>
            </w:r>
          </w:p>
          <w:p w14:paraId="2C7073BD" w14:textId="18BC5F6B" w:rsidR="00DB0635" w:rsidRDefault="00DB0635" w:rsidP="009347A9">
            <w:r>
              <w:t>Regulējums</w:t>
            </w:r>
            <w:r w:rsidR="000A38FE">
              <w:t xml:space="preserve"> </w:t>
            </w:r>
            <w:r>
              <w:t>ir vērsts uz nāk</w:t>
            </w:r>
            <w:r w:rsidR="000A38FE">
              <w:t>o</w:t>
            </w:r>
            <w:r>
              <w:t>tnes perspektīvām</w:t>
            </w:r>
            <w:r w:rsidR="00001375">
              <w:t>,</w:t>
            </w:r>
            <w:r>
              <w:t xml:space="preserve"> nevis kāda komersanta vajadzībām ierīkot </w:t>
            </w:r>
            <w:r w:rsidR="004465E8">
              <w:t xml:space="preserve">tam rezerves </w:t>
            </w:r>
            <w:r w:rsidR="000A38FE">
              <w:t>kabeļu kanalizāciju</w:t>
            </w:r>
            <w:r w:rsidR="004465E8">
              <w:t>.</w:t>
            </w:r>
          </w:p>
          <w:p w14:paraId="3088721C" w14:textId="77777777" w:rsidR="00E65B8E" w:rsidRDefault="00E65B8E">
            <w:pPr>
              <w:jc w:val="left"/>
            </w:pPr>
          </w:p>
          <w:p w14:paraId="55C66578" w14:textId="53C22F88" w:rsidR="00E65B8E" w:rsidRDefault="00331B3A" w:rsidP="00BB2A51">
            <w:r>
              <w:t>Jautājumi par</w:t>
            </w:r>
            <w:r w:rsidR="008C2806">
              <w:t xml:space="preserve"> konkrētiem izmēriem</w:t>
            </w:r>
            <w:r w:rsidR="00DB7489">
              <w:t xml:space="preserve"> elektronisko sakaru</w:t>
            </w:r>
            <w:r>
              <w:t xml:space="preserve"> </w:t>
            </w:r>
            <w:r w:rsidR="008C2806">
              <w:t>kabeļu kanalizācijas</w:t>
            </w:r>
            <w:r w:rsidR="00DB7489">
              <w:t xml:space="preserve"> akām,</w:t>
            </w:r>
            <w:r w:rsidR="008C2806">
              <w:t xml:space="preserve"> </w:t>
            </w:r>
            <w:r>
              <w:t>i</w:t>
            </w:r>
            <w:r w:rsidR="00E65B8E">
              <w:t>ev</w:t>
            </w:r>
            <w:r w:rsidR="009C104F">
              <w:t>a</w:t>
            </w:r>
            <w:r w:rsidR="00E65B8E">
              <w:t>d</w:t>
            </w:r>
            <w:r>
              <w:t>iem</w:t>
            </w:r>
            <w:r w:rsidR="009C104F">
              <w:t xml:space="preserve"> ēkās risin</w:t>
            </w:r>
            <w:r>
              <w:t>āmi</w:t>
            </w:r>
            <w:r w:rsidR="009C104F">
              <w:t xml:space="preserve"> </w:t>
            </w:r>
            <w:r w:rsidR="00D43942">
              <w:t>Ministru kabineta noteikum</w:t>
            </w:r>
            <w:r w:rsidR="004E2164">
              <w:t>os</w:t>
            </w:r>
            <w:r w:rsidR="00D43942">
              <w:t xml:space="preserve"> </w:t>
            </w:r>
            <w:r w:rsidR="004E2757">
              <w:t xml:space="preserve">2015.gada </w:t>
            </w:r>
            <w:r>
              <w:t xml:space="preserve">30.jūnija </w:t>
            </w:r>
            <w:r w:rsidR="00D43942">
              <w:t>Nr.328 “</w:t>
            </w:r>
            <w:r w:rsidR="00F91DD2" w:rsidRPr="00F91DD2">
              <w:t>Noteikumi par Latvijas būvnormatīvu LBN</w:t>
            </w:r>
            <w:r w:rsidR="00D43942">
              <w:t> </w:t>
            </w:r>
            <w:r w:rsidR="00F91DD2" w:rsidRPr="00F91DD2">
              <w:t xml:space="preserve">262-15 </w:t>
            </w:r>
            <w:r w:rsidR="00D43942">
              <w:t>“</w:t>
            </w:r>
            <w:r w:rsidR="00F91DD2" w:rsidRPr="00F91DD2">
              <w:t>Elektronisko sakaru tīkli</w:t>
            </w:r>
            <w:r w:rsidR="00D43942">
              <w:t>””</w:t>
            </w:r>
          </w:p>
        </w:tc>
      </w:tr>
      <w:tr w:rsidR="00AE2BD1" w14:paraId="4170BD9C" w14:textId="77777777">
        <w:tc>
          <w:tcPr>
            <w:tcW w:w="750" w:type="dxa"/>
            <w:shd w:val="clear" w:color="auto" w:fill="FFFFFF"/>
            <w:noWrap/>
            <w:tcMar>
              <w:top w:w="75" w:type="dxa"/>
              <w:left w:w="75" w:type="dxa"/>
              <w:bottom w:w="75" w:type="dxa"/>
              <w:right w:w="75" w:type="dxa"/>
            </w:tcMar>
            <w:vAlign w:val="center"/>
          </w:tcPr>
          <w:p w14:paraId="4720F137" w14:textId="76327E6F" w:rsidR="00AE2BD1" w:rsidRDefault="00AE2BD1">
            <w:pPr>
              <w:jc w:val="center"/>
            </w:pPr>
            <w:r>
              <w:t>6.</w:t>
            </w:r>
          </w:p>
        </w:tc>
        <w:tc>
          <w:tcPr>
            <w:tcW w:w="4055" w:type="dxa"/>
            <w:shd w:val="clear" w:color="auto" w:fill="FFFFFF"/>
            <w:noWrap/>
            <w:tcMar>
              <w:top w:w="75" w:type="dxa"/>
              <w:left w:w="75" w:type="dxa"/>
              <w:bottom w:w="75" w:type="dxa"/>
              <w:right w:w="75" w:type="dxa"/>
            </w:tcMar>
            <w:vAlign w:val="center"/>
          </w:tcPr>
          <w:p w14:paraId="55D2A3B2" w14:textId="302C9705" w:rsidR="00AE2BD1" w:rsidRPr="00E851CD" w:rsidRDefault="00671363">
            <w:pPr>
              <w:jc w:val="left"/>
            </w:pPr>
            <w:r>
              <w:rPr>
                <w:szCs w:val="28"/>
              </w:rPr>
              <w:t>Latvijas Pašvaldību savienība</w:t>
            </w:r>
            <w:r>
              <w:rPr>
                <w:szCs w:val="28"/>
              </w:rPr>
              <w:t xml:space="preserve"> (ārpus TAP, pēc termiņa)</w:t>
            </w:r>
          </w:p>
        </w:tc>
        <w:tc>
          <w:tcPr>
            <w:tcW w:w="4056" w:type="dxa"/>
            <w:shd w:val="clear" w:color="auto" w:fill="FFFFFF"/>
            <w:noWrap/>
            <w:tcMar>
              <w:top w:w="75" w:type="dxa"/>
              <w:left w:w="75" w:type="dxa"/>
              <w:bottom w:w="75" w:type="dxa"/>
              <w:right w:w="75" w:type="dxa"/>
            </w:tcMar>
            <w:vAlign w:val="center"/>
          </w:tcPr>
          <w:p w14:paraId="309EBE75" w14:textId="77777777" w:rsidR="00F34FBA" w:rsidRPr="00505937" w:rsidRDefault="00F34FBA" w:rsidP="00F34FBA">
            <w:pPr>
              <w:ind w:firstLine="709"/>
              <w:rPr>
                <w:szCs w:val="28"/>
              </w:rPr>
            </w:pPr>
            <w:r>
              <w:rPr>
                <w:szCs w:val="28"/>
              </w:rPr>
              <w:t xml:space="preserve">Latvijas Pašvaldību savienība,  izvērtējot </w:t>
            </w:r>
            <w:r w:rsidRPr="00505937">
              <w:rPr>
                <w:szCs w:val="28"/>
              </w:rPr>
              <w:t>Groz</w:t>
            </w:r>
            <w:r w:rsidRPr="00505937">
              <w:rPr>
                <w:rFonts w:hint="eastAsia"/>
                <w:szCs w:val="28"/>
              </w:rPr>
              <w:t>ī</w:t>
            </w:r>
            <w:r w:rsidRPr="00505937">
              <w:rPr>
                <w:szCs w:val="28"/>
              </w:rPr>
              <w:t>jum</w:t>
            </w:r>
            <w:r>
              <w:rPr>
                <w:szCs w:val="28"/>
              </w:rPr>
              <w:t xml:space="preserve">us </w:t>
            </w:r>
            <w:r w:rsidRPr="00505937">
              <w:rPr>
                <w:szCs w:val="28"/>
              </w:rPr>
              <w:t>Ministru kabineta 2021. gada 19. oktobra noteikumos Nr. 693 "B</w:t>
            </w:r>
            <w:r w:rsidRPr="00505937">
              <w:rPr>
                <w:rFonts w:hint="eastAsia"/>
                <w:szCs w:val="28"/>
              </w:rPr>
              <w:t>ū</w:t>
            </w:r>
            <w:r w:rsidRPr="00505937">
              <w:rPr>
                <w:szCs w:val="28"/>
              </w:rPr>
              <w:t>vju visp</w:t>
            </w:r>
            <w:r w:rsidRPr="00505937">
              <w:rPr>
                <w:rFonts w:hint="eastAsia"/>
                <w:szCs w:val="28"/>
              </w:rPr>
              <w:t>ā</w:t>
            </w:r>
            <w:r w:rsidRPr="00505937">
              <w:rPr>
                <w:szCs w:val="28"/>
              </w:rPr>
              <w:t>r</w:t>
            </w:r>
            <w:r w:rsidRPr="00505937">
              <w:rPr>
                <w:rFonts w:hint="eastAsia"/>
                <w:szCs w:val="28"/>
              </w:rPr>
              <w:t>ī</w:t>
            </w:r>
            <w:r w:rsidRPr="00505937">
              <w:rPr>
                <w:szCs w:val="28"/>
              </w:rPr>
              <w:t>go pras</w:t>
            </w:r>
            <w:r w:rsidRPr="00505937">
              <w:rPr>
                <w:rFonts w:hint="eastAsia"/>
                <w:szCs w:val="28"/>
              </w:rPr>
              <w:t>ī</w:t>
            </w:r>
            <w:r w:rsidRPr="00505937">
              <w:rPr>
                <w:szCs w:val="28"/>
              </w:rPr>
              <w:t>bu b</w:t>
            </w:r>
            <w:r w:rsidRPr="00505937">
              <w:rPr>
                <w:rFonts w:hint="eastAsia"/>
                <w:szCs w:val="28"/>
              </w:rPr>
              <w:t>ū</w:t>
            </w:r>
            <w:r w:rsidRPr="00505937">
              <w:rPr>
                <w:szCs w:val="28"/>
              </w:rPr>
              <w:t>vnormat</w:t>
            </w:r>
            <w:r w:rsidRPr="00505937">
              <w:rPr>
                <w:rFonts w:hint="eastAsia"/>
                <w:szCs w:val="28"/>
              </w:rPr>
              <w:t>ī</w:t>
            </w:r>
            <w:r w:rsidRPr="00505937">
              <w:rPr>
                <w:szCs w:val="28"/>
              </w:rPr>
              <w:t>vs LBN 200-21"</w:t>
            </w:r>
            <w:r>
              <w:rPr>
                <w:szCs w:val="28"/>
              </w:rPr>
              <w:t xml:space="preserve"> (</w:t>
            </w:r>
            <w:r w:rsidRPr="00505937">
              <w:rPr>
                <w:szCs w:val="28"/>
              </w:rPr>
              <w:t>25-TA-1857</w:t>
            </w:r>
            <w:r>
              <w:rPr>
                <w:szCs w:val="28"/>
              </w:rPr>
              <w:t>) izsaka sekojošu iebildumu.</w:t>
            </w:r>
          </w:p>
          <w:p w14:paraId="54FD69B1" w14:textId="77777777" w:rsidR="00F34FBA" w:rsidRDefault="00F34FBA" w:rsidP="00F34FBA">
            <w:pPr>
              <w:ind w:firstLine="709"/>
              <w:rPr>
                <w:szCs w:val="28"/>
              </w:rPr>
            </w:pPr>
            <w:r>
              <w:rPr>
                <w:szCs w:val="28"/>
              </w:rPr>
              <w:t>Lūdzam precizēt 1.2 punktu, kas  paredz p</w:t>
            </w:r>
            <w:r w:rsidRPr="00F20449">
              <w:rPr>
                <w:szCs w:val="28"/>
              </w:rPr>
              <w:t>apildin</w:t>
            </w:r>
            <w:r w:rsidRPr="00F20449">
              <w:rPr>
                <w:rFonts w:hint="eastAsia"/>
                <w:szCs w:val="28"/>
              </w:rPr>
              <w:t>ā</w:t>
            </w:r>
            <w:r w:rsidRPr="00F20449">
              <w:rPr>
                <w:szCs w:val="28"/>
              </w:rPr>
              <w:t>t ar 5.1 apakšpunktu š</w:t>
            </w:r>
            <w:r w:rsidRPr="00F20449">
              <w:rPr>
                <w:rFonts w:hint="eastAsia"/>
                <w:szCs w:val="28"/>
              </w:rPr>
              <w:t>ā</w:t>
            </w:r>
            <w:r w:rsidRPr="00F20449">
              <w:rPr>
                <w:szCs w:val="28"/>
              </w:rPr>
              <w:t>d</w:t>
            </w:r>
            <w:r w:rsidRPr="00F20449">
              <w:rPr>
                <w:rFonts w:hint="eastAsia"/>
                <w:szCs w:val="28"/>
              </w:rPr>
              <w:t>ā</w:t>
            </w:r>
            <w:r w:rsidRPr="00F20449">
              <w:rPr>
                <w:szCs w:val="28"/>
              </w:rPr>
              <w:t xml:space="preserve"> redakcij</w:t>
            </w:r>
            <w:r w:rsidRPr="00F20449">
              <w:rPr>
                <w:rFonts w:hint="eastAsia"/>
                <w:szCs w:val="28"/>
              </w:rPr>
              <w:t>ā</w:t>
            </w:r>
            <w:r w:rsidRPr="00021A11">
              <w:t xml:space="preserve"> </w:t>
            </w:r>
            <w:r>
              <w:rPr>
                <w:szCs w:val="28"/>
              </w:rPr>
              <w:t>“</w:t>
            </w:r>
            <w:r w:rsidRPr="00021A11">
              <w:rPr>
                <w:szCs w:val="28"/>
              </w:rPr>
              <w:t>Lai nodrošin</w:t>
            </w:r>
            <w:r w:rsidRPr="00021A11">
              <w:rPr>
                <w:rFonts w:hint="eastAsia"/>
                <w:szCs w:val="28"/>
              </w:rPr>
              <w:t>ā</w:t>
            </w:r>
            <w:r w:rsidRPr="00021A11">
              <w:rPr>
                <w:szCs w:val="28"/>
              </w:rPr>
              <w:t>tu ilgtsp</w:t>
            </w:r>
            <w:r w:rsidRPr="00021A11">
              <w:rPr>
                <w:rFonts w:hint="eastAsia"/>
                <w:szCs w:val="28"/>
              </w:rPr>
              <w:t>ē</w:t>
            </w:r>
            <w:r w:rsidRPr="00021A11">
              <w:rPr>
                <w:szCs w:val="28"/>
              </w:rPr>
              <w:t>j</w:t>
            </w:r>
            <w:r w:rsidRPr="00021A11">
              <w:rPr>
                <w:rFonts w:hint="eastAsia"/>
                <w:szCs w:val="28"/>
              </w:rPr>
              <w:t>ī</w:t>
            </w:r>
            <w:r w:rsidRPr="00021A11">
              <w:rPr>
                <w:szCs w:val="28"/>
              </w:rPr>
              <w:t>gu dabas resursu izmantošanu b</w:t>
            </w:r>
            <w:r w:rsidRPr="00021A11">
              <w:rPr>
                <w:rFonts w:hint="eastAsia"/>
                <w:szCs w:val="28"/>
              </w:rPr>
              <w:t>ū</w:t>
            </w:r>
            <w:r w:rsidRPr="00021A11">
              <w:rPr>
                <w:szCs w:val="28"/>
              </w:rPr>
              <w:t>vniec</w:t>
            </w:r>
            <w:r w:rsidRPr="00021A11">
              <w:rPr>
                <w:rFonts w:hint="eastAsia"/>
                <w:szCs w:val="28"/>
              </w:rPr>
              <w:t>ī</w:t>
            </w:r>
            <w:r w:rsidRPr="00021A11">
              <w:rPr>
                <w:szCs w:val="28"/>
              </w:rPr>
              <w:t>b</w:t>
            </w:r>
            <w:r w:rsidRPr="00021A11">
              <w:rPr>
                <w:rFonts w:hint="eastAsia"/>
                <w:szCs w:val="28"/>
              </w:rPr>
              <w:t>ā</w:t>
            </w:r>
            <w:r w:rsidRPr="00021A11">
              <w:rPr>
                <w:szCs w:val="28"/>
              </w:rPr>
              <w:t>, no publisko ties</w:t>
            </w:r>
            <w:r w:rsidRPr="00021A11">
              <w:rPr>
                <w:rFonts w:hint="eastAsia"/>
                <w:szCs w:val="28"/>
              </w:rPr>
              <w:t>ī</w:t>
            </w:r>
            <w:r w:rsidRPr="00021A11">
              <w:rPr>
                <w:szCs w:val="28"/>
              </w:rPr>
              <w:t>bu juridisk</w:t>
            </w:r>
            <w:r w:rsidRPr="00021A11">
              <w:rPr>
                <w:rFonts w:hint="eastAsia"/>
                <w:szCs w:val="28"/>
              </w:rPr>
              <w:t>ā</w:t>
            </w:r>
            <w:r w:rsidRPr="00021A11">
              <w:rPr>
                <w:szCs w:val="28"/>
              </w:rPr>
              <w:t>s personas l</w:t>
            </w:r>
            <w:r w:rsidRPr="00021A11">
              <w:rPr>
                <w:rFonts w:hint="eastAsia"/>
                <w:szCs w:val="28"/>
              </w:rPr>
              <w:t>ī</w:t>
            </w:r>
            <w:r w:rsidRPr="00021A11">
              <w:rPr>
                <w:szCs w:val="28"/>
              </w:rPr>
              <w:t>dzek</w:t>
            </w:r>
            <w:r w:rsidRPr="00021A11">
              <w:rPr>
                <w:rFonts w:hint="eastAsia"/>
                <w:szCs w:val="28"/>
              </w:rPr>
              <w:t>ļ</w:t>
            </w:r>
            <w:r w:rsidRPr="00021A11">
              <w:rPr>
                <w:szCs w:val="28"/>
              </w:rPr>
              <w:t>iem finans</w:t>
            </w:r>
            <w:r w:rsidRPr="00021A11">
              <w:rPr>
                <w:rFonts w:hint="eastAsia"/>
                <w:szCs w:val="28"/>
              </w:rPr>
              <w:t>ē</w:t>
            </w:r>
            <w:r w:rsidRPr="00021A11">
              <w:rPr>
                <w:szCs w:val="28"/>
              </w:rPr>
              <w:t xml:space="preserve">tu </w:t>
            </w:r>
            <w:r w:rsidRPr="00021A11">
              <w:rPr>
                <w:rFonts w:hint="eastAsia"/>
                <w:szCs w:val="28"/>
              </w:rPr>
              <w:t>ē</w:t>
            </w:r>
            <w:r w:rsidRPr="00021A11">
              <w:rPr>
                <w:szCs w:val="28"/>
              </w:rPr>
              <w:t>ku jaunai b</w:t>
            </w:r>
            <w:r w:rsidRPr="00021A11">
              <w:rPr>
                <w:rFonts w:hint="eastAsia"/>
                <w:szCs w:val="28"/>
              </w:rPr>
              <w:t>ū</w:t>
            </w:r>
            <w:r w:rsidRPr="00021A11">
              <w:rPr>
                <w:szCs w:val="28"/>
              </w:rPr>
              <w:t>vniec</w:t>
            </w:r>
            <w:r w:rsidRPr="00021A11">
              <w:rPr>
                <w:rFonts w:hint="eastAsia"/>
                <w:szCs w:val="28"/>
              </w:rPr>
              <w:t>ī</w:t>
            </w:r>
            <w:r w:rsidRPr="00021A11">
              <w:rPr>
                <w:szCs w:val="28"/>
              </w:rPr>
              <w:t>bai virszemes nesoš</w:t>
            </w:r>
            <w:r w:rsidRPr="00021A11">
              <w:rPr>
                <w:rFonts w:hint="eastAsia"/>
                <w:szCs w:val="28"/>
              </w:rPr>
              <w:t>ā</w:t>
            </w:r>
            <w:r w:rsidRPr="00021A11">
              <w:rPr>
                <w:szCs w:val="28"/>
              </w:rPr>
              <w:t>s konstrukcijas (kolonnas, nesoš</w:t>
            </w:r>
            <w:r w:rsidRPr="00021A11">
              <w:rPr>
                <w:rFonts w:hint="eastAsia"/>
                <w:szCs w:val="28"/>
              </w:rPr>
              <w:t>ā</w:t>
            </w:r>
            <w:r w:rsidRPr="00021A11">
              <w:rPr>
                <w:szCs w:val="28"/>
              </w:rPr>
              <w:t>s sienas, sijas, p</w:t>
            </w:r>
            <w:r w:rsidRPr="00021A11">
              <w:rPr>
                <w:rFonts w:hint="eastAsia"/>
                <w:szCs w:val="28"/>
              </w:rPr>
              <w:t>ā</w:t>
            </w:r>
            <w:r w:rsidRPr="00021A11">
              <w:rPr>
                <w:szCs w:val="28"/>
              </w:rPr>
              <w:t>rsegumi un jumta nesošo konstrukciju elementi) projekt</w:t>
            </w:r>
            <w:r w:rsidRPr="00021A11">
              <w:rPr>
                <w:rFonts w:hint="eastAsia"/>
                <w:szCs w:val="28"/>
              </w:rPr>
              <w:t>ē</w:t>
            </w:r>
            <w:r w:rsidRPr="00021A11">
              <w:rPr>
                <w:szCs w:val="28"/>
              </w:rPr>
              <w:t xml:space="preserve"> un b</w:t>
            </w:r>
            <w:r w:rsidRPr="00021A11">
              <w:rPr>
                <w:rFonts w:hint="eastAsia"/>
                <w:szCs w:val="28"/>
              </w:rPr>
              <w:t>ū</w:t>
            </w:r>
            <w:r w:rsidRPr="00021A11">
              <w:rPr>
                <w:szCs w:val="28"/>
              </w:rPr>
              <w:t>v</w:t>
            </w:r>
            <w:r w:rsidRPr="00021A11">
              <w:rPr>
                <w:rFonts w:hint="eastAsia"/>
                <w:szCs w:val="28"/>
              </w:rPr>
              <w:t>ē</w:t>
            </w:r>
            <w:r w:rsidRPr="00021A11">
              <w:rPr>
                <w:szCs w:val="28"/>
              </w:rPr>
              <w:t xml:space="preserve"> no koka b</w:t>
            </w:r>
            <w:r w:rsidRPr="00021A11">
              <w:rPr>
                <w:rFonts w:hint="eastAsia"/>
                <w:szCs w:val="28"/>
              </w:rPr>
              <w:t>ū</w:t>
            </w:r>
            <w:r w:rsidRPr="00021A11">
              <w:rPr>
                <w:szCs w:val="28"/>
              </w:rPr>
              <w:t>vkonstrukcij</w:t>
            </w:r>
            <w:r w:rsidRPr="00021A11">
              <w:rPr>
                <w:rFonts w:hint="eastAsia"/>
                <w:szCs w:val="28"/>
              </w:rPr>
              <w:t>ā</w:t>
            </w:r>
            <w:r w:rsidRPr="00021A11">
              <w:rPr>
                <w:szCs w:val="28"/>
              </w:rPr>
              <w:t>m, ja to izmantošanu pie</w:t>
            </w:r>
            <w:r w:rsidRPr="00021A11">
              <w:rPr>
                <w:rFonts w:hint="eastAsia"/>
                <w:szCs w:val="28"/>
              </w:rPr>
              <w:t>ļ</w:t>
            </w:r>
            <w:r w:rsidRPr="00021A11">
              <w:rPr>
                <w:szCs w:val="28"/>
              </w:rPr>
              <w:t>auj normat</w:t>
            </w:r>
            <w:r w:rsidRPr="00021A11">
              <w:rPr>
                <w:rFonts w:hint="eastAsia"/>
                <w:szCs w:val="28"/>
              </w:rPr>
              <w:t>ī</w:t>
            </w:r>
            <w:r w:rsidRPr="00021A11">
              <w:rPr>
                <w:szCs w:val="28"/>
              </w:rPr>
              <w:t>vajos aktos noteikt</w:t>
            </w:r>
            <w:r w:rsidRPr="00021A11">
              <w:rPr>
                <w:rFonts w:hint="eastAsia"/>
                <w:szCs w:val="28"/>
              </w:rPr>
              <w:t>ā</w:t>
            </w:r>
            <w:r w:rsidRPr="00021A11">
              <w:rPr>
                <w:szCs w:val="28"/>
              </w:rPr>
              <w:t>s ugunsdroš</w:t>
            </w:r>
            <w:r w:rsidRPr="00021A11">
              <w:rPr>
                <w:rFonts w:hint="eastAsia"/>
                <w:szCs w:val="28"/>
              </w:rPr>
              <w:t>ī</w:t>
            </w:r>
            <w:r w:rsidRPr="00021A11">
              <w:rPr>
                <w:szCs w:val="28"/>
              </w:rPr>
              <w:t>bas pras</w:t>
            </w:r>
            <w:r w:rsidRPr="00021A11">
              <w:rPr>
                <w:rFonts w:hint="eastAsia"/>
                <w:szCs w:val="28"/>
              </w:rPr>
              <w:t>ī</w:t>
            </w:r>
            <w:r w:rsidRPr="00021A11">
              <w:rPr>
                <w:szCs w:val="28"/>
              </w:rPr>
              <w:t>bas un koka b</w:t>
            </w:r>
            <w:r w:rsidRPr="00021A11">
              <w:rPr>
                <w:rFonts w:hint="eastAsia"/>
                <w:szCs w:val="28"/>
              </w:rPr>
              <w:t>ū</w:t>
            </w:r>
            <w:r w:rsidRPr="00021A11">
              <w:rPr>
                <w:szCs w:val="28"/>
              </w:rPr>
              <w:t>vkonstrukciju izmantošanu neierobežo pastiprin</w:t>
            </w:r>
            <w:r w:rsidRPr="00021A11">
              <w:rPr>
                <w:rFonts w:hint="eastAsia"/>
                <w:szCs w:val="28"/>
              </w:rPr>
              <w:t>ā</w:t>
            </w:r>
            <w:r w:rsidRPr="00021A11">
              <w:rPr>
                <w:szCs w:val="28"/>
              </w:rPr>
              <w:t xml:space="preserve">ta mitruma un </w:t>
            </w:r>
            <w:r w:rsidRPr="00021A11">
              <w:rPr>
                <w:rFonts w:hint="eastAsia"/>
                <w:szCs w:val="28"/>
              </w:rPr>
              <w:t>ū</w:t>
            </w:r>
            <w:r w:rsidRPr="00021A11">
              <w:rPr>
                <w:szCs w:val="28"/>
              </w:rPr>
              <w:t>dens ietekme uz konstrukcij</w:t>
            </w:r>
            <w:r w:rsidRPr="00021A11">
              <w:rPr>
                <w:rFonts w:hint="eastAsia"/>
                <w:szCs w:val="28"/>
              </w:rPr>
              <w:t>ā</w:t>
            </w:r>
            <w:r w:rsidRPr="00021A11">
              <w:rPr>
                <w:szCs w:val="28"/>
              </w:rPr>
              <w:t>m."</w:t>
            </w:r>
          </w:p>
          <w:p w14:paraId="18CC8751" w14:textId="77777777" w:rsidR="00F34FBA" w:rsidRDefault="00F34FBA" w:rsidP="00F34FBA">
            <w:pPr>
              <w:ind w:firstLine="709"/>
              <w:rPr>
                <w:szCs w:val="28"/>
              </w:rPr>
            </w:pPr>
            <w:r>
              <w:rPr>
                <w:szCs w:val="28"/>
              </w:rPr>
              <w:t xml:space="preserve">Vēršam uzmanību  uz to, ka šāda </w:t>
            </w:r>
            <w:r w:rsidRPr="00F20449">
              <w:rPr>
                <w:szCs w:val="28"/>
              </w:rPr>
              <w:t xml:space="preserve">punkta redakcija </w:t>
            </w:r>
            <w:r w:rsidRPr="00D3602B">
              <w:rPr>
                <w:szCs w:val="28"/>
              </w:rPr>
              <w:t>piln</w:t>
            </w:r>
            <w:r w:rsidRPr="00D3602B">
              <w:rPr>
                <w:rFonts w:hint="eastAsia"/>
                <w:szCs w:val="28"/>
              </w:rPr>
              <w:t>ī</w:t>
            </w:r>
            <w:r w:rsidRPr="00D3602B">
              <w:rPr>
                <w:szCs w:val="28"/>
              </w:rPr>
              <w:t>b</w:t>
            </w:r>
            <w:r w:rsidRPr="00D3602B">
              <w:rPr>
                <w:rFonts w:hint="eastAsia"/>
                <w:szCs w:val="28"/>
              </w:rPr>
              <w:t>ā</w:t>
            </w:r>
            <w:r w:rsidRPr="00D3602B">
              <w:rPr>
                <w:szCs w:val="28"/>
              </w:rPr>
              <w:t xml:space="preserve"> izsl</w:t>
            </w:r>
            <w:r w:rsidRPr="00D3602B">
              <w:rPr>
                <w:rFonts w:hint="eastAsia"/>
                <w:szCs w:val="28"/>
              </w:rPr>
              <w:t>ē</w:t>
            </w:r>
            <w:r w:rsidRPr="00D3602B">
              <w:rPr>
                <w:szCs w:val="28"/>
              </w:rPr>
              <w:t>dz iesp</w:t>
            </w:r>
            <w:r w:rsidRPr="00D3602B">
              <w:rPr>
                <w:rFonts w:hint="eastAsia"/>
                <w:szCs w:val="28"/>
              </w:rPr>
              <w:t>ē</w:t>
            </w:r>
            <w:r w:rsidRPr="00D3602B">
              <w:rPr>
                <w:szCs w:val="28"/>
              </w:rPr>
              <w:t>ju izv</w:t>
            </w:r>
            <w:r w:rsidRPr="00D3602B">
              <w:rPr>
                <w:rFonts w:hint="eastAsia"/>
                <w:szCs w:val="28"/>
              </w:rPr>
              <w:t>ē</w:t>
            </w:r>
            <w:r w:rsidRPr="00D3602B">
              <w:rPr>
                <w:szCs w:val="28"/>
              </w:rPr>
              <w:t>l</w:t>
            </w:r>
            <w:r w:rsidRPr="00D3602B">
              <w:rPr>
                <w:rFonts w:hint="eastAsia"/>
                <w:szCs w:val="28"/>
              </w:rPr>
              <w:t>ē</w:t>
            </w:r>
            <w:r w:rsidRPr="00D3602B">
              <w:rPr>
                <w:szCs w:val="28"/>
              </w:rPr>
              <w:t>ties citus materi</w:t>
            </w:r>
            <w:r w:rsidRPr="00D3602B">
              <w:rPr>
                <w:rFonts w:hint="eastAsia"/>
                <w:szCs w:val="28"/>
              </w:rPr>
              <w:t>ā</w:t>
            </w:r>
            <w:r w:rsidRPr="00D3602B">
              <w:rPr>
                <w:szCs w:val="28"/>
              </w:rPr>
              <w:t>lus, pat ja konkr</w:t>
            </w:r>
            <w:r w:rsidRPr="00D3602B">
              <w:rPr>
                <w:rFonts w:hint="eastAsia"/>
                <w:szCs w:val="28"/>
              </w:rPr>
              <w:t>ē</w:t>
            </w:r>
            <w:r w:rsidRPr="00D3602B">
              <w:rPr>
                <w:szCs w:val="28"/>
              </w:rPr>
              <w:t>taj</w:t>
            </w:r>
            <w:r w:rsidRPr="00D3602B">
              <w:rPr>
                <w:rFonts w:hint="eastAsia"/>
                <w:szCs w:val="28"/>
              </w:rPr>
              <w:t>ā</w:t>
            </w:r>
            <w:r w:rsidRPr="00D3602B">
              <w:rPr>
                <w:szCs w:val="28"/>
              </w:rPr>
              <w:t xml:space="preserve"> projekt</w:t>
            </w:r>
            <w:r w:rsidRPr="00D3602B">
              <w:rPr>
                <w:rFonts w:hint="eastAsia"/>
                <w:szCs w:val="28"/>
              </w:rPr>
              <w:t>ā</w:t>
            </w:r>
            <w:r w:rsidRPr="00D3602B">
              <w:rPr>
                <w:szCs w:val="28"/>
              </w:rPr>
              <w:t xml:space="preserve"> koka konstrukciju izmantošana ir ekonomiski neizdev</w:t>
            </w:r>
            <w:r w:rsidRPr="00D3602B">
              <w:rPr>
                <w:rFonts w:hint="eastAsia"/>
                <w:szCs w:val="28"/>
              </w:rPr>
              <w:t>ī</w:t>
            </w:r>
            <w:r w:rsidRPr="00D3602B">
              <w:rPr>
                <w:szCs w:val="28"/>
              </w:rPr>
              <w:t>ga vai tehniski sarež</w:t>
            </w:r>
            <w:r w:rsidRPr="00D3602B">
              <w:rPr>
                <w:rFonts w:hint="eastAsia"/>
                <w:szCs w:val="28"/>
              </w:rPr>
              <w:t>ģī</w:t>
            </w:r>
            <w:r w:rsidRPr="00D3602B">
              <w:rPr>
                <w:szCs w:val="28"/>
              </w:rPr>
              <w:t>ta. Tas ierobežo projekt</w:t>
            </w:r>
            <w:r w:rsidRPr="00D3602B">
              <w:rPr>
                <w:rFonts w:hint="eastAsia"/>
                <w:szCs w:val="28"/>
              </w:rPr>
              <w:t>ē</w:t>
            </w:r>
            <w:r w:rsidRPr="00D3602B">
              <w:rPr>
                <w:szCs w:val="28"/>
              </w:rPr>
              <w:t>t</w:t>
            </w:r>
            <w:r w:rsidRPr="00D3602B">
              <w:rPr>
                <w:rFonts w:hint="eastAsia"/>
                <w:szCs w:val="28"/>
              </w:rPr>
              <w:t>ā</w:t>
            </w:r>
            <w:r w:rsidRPr="00D3602B">
              <w:rPr>
                <w:szCs w:val="28"/>
              </w:rPr>
              <w:t>ju un pas</w:t>
            </w:r>
            <w:r w:rsidRPr="00D3602B">
              <w:rPr>
                <w:rFonts w:hint="eastAsia"/>
                <w:szCs w:val="28"/>
              </w:rPr>
              <w:t>ū</w:t>
            </w:r>
            <w:r w:rsidRPr="00D3602B">
              <w:rPr>
                <w:szCs w:val="28"/>
              </w:rPr>
              <w:t>t</w:t>
            </w:r>
            <w:r w:rsidRPr="00D3602B">
              <w:rPr>
                <w:rFonts w:hint="eastAsia"/>
                <w:szCs w:val="28"/>
              </w:rPr>
              <w:t>ī</w:t>
            </w:r>
            <w:r w:rsidRPr="00D3602B">
              <w:rPr>
                <w:szCs w:val="28"/>
              </w:rPr>
              <w:t>t</w:t>
            </w:r>
            <w:r w:rsidRPr="00D3602B">
              <w:rPr>
                <w:rFonts w:hint="eastAsia"/>
                <w:szCs w:val="28"/>
              </w:rPr>
              <w:t>ā</w:t>
            </w:r>
            <w:r w:rsidRPr="00D3602B">
              <w:rPr>
                <w:szCs w:val="28"/>
              </w:rPr>
              <w:t>ju r</w:t>
            </w:r>
            <w:r w:rsidRPr="00D3602B">
              <w:rPr>
                <w:rFonts w:hint="eastAsia"/>
                <w:szCs w:val="28"/>
              </w:rPr>
              <w:t>ī</w:t>
            </w:r>
            <w:r w:rsidRPr="00D3602B">
              <w:rPr>
                <w:szCs w:val="28"/>
              </w:rPr>
              <w:t>c</w:t>
            </w:r>
            <w:r w:rsidRPr="00D3602B">
              <w:rPr>
                <w:rFonts w:hint="eastAsia"/>
                <w:szCs w:val="28"/>
              </w:rPr>
              <w:t>ī</w:t>
            </w:r>
            <w:r w:rsidRPr="00D3602B">
              <w:rPr>
                <w:szCs w:val="28"/>
              </w:rPr>
              <w:t>bas br</w:t>
            </w:r>
            <w:r w:rsidRPr="00D3602B">
              <w:rPr>
                <w:rFonts w:hint="eastAsia"/>
                <w:szCs w:val="28"/>
              </w:rPr>
              <w:t>ī</w:t>
            </w:r>
            <w:r w:rsidRPr="00D3602B">
              <w:rPr>
                <w:szCs w:val="28"/>
              </w:rPr>
              <w:t>v</w:t>
            </w:r>
            <w:r w:rsidRPr="00D3602B">
              <w:rPr>
                <w:rFonts w:hint="eastAsia"/>
                <w:szCs w:val="28"/>
              </w:rPr>
              <w:t>ī</w:t>
            </w:r>
            <w:r w:rsidRPr="00D3602B">
              <w:rPr>
                <w:szCs w:val="28"/>
              </w:rPr>
              <w:t>bu, kas ir b</w:t>
            </w:r>
            <w:r w:rsidRPr="00D3602B">
              <w:rPr>
                <w:rFonts w:hint="eastAsia"/>
                <w:szCs w:val="28"/>
              </w:rPr>
              <w:t>ū</w:t>
            </w:r>
            <w:r w:rsidRPr="00D3602B">
              <w:rPr>
                <w:szCs w:val="28"/>
              </w:rPr>
              <w:t>tiska efekt</w:t>
            </w:r>
            <w:r w:rsidRPr="00D3602B">
              <w:rPr>
                <w:rFonts w:hint="eastAsia"/>
                <w:szCs w:val="28"/>
              </w:rPr>
              <w:t>ī</w:t>
            </w:r>
            <w:r w:rsidRPr="00D3602B">
              <w:rPr>
                <w:szCs w:val="28"/>
              </w:rPr>
              <w:t>vai resursu izmantošanai</w:t>
            </w:r>
            <w:r>
              <w:rPr>
                <w:szCs w:val="28"/>
              </w:rPr>
              <w:t>.</w:t>
            </w:r>
          </w:p>
          <w:p w14:paraId="0CDEBFE7" w14:textId="7F22AC2B" w:rsidR="00AE2BD1" w:rsidRPr="00A576A1" w:rsidRDefault="00F34FBA" w:rsidP="00F34FBA">
            <w:pPr>
              <w:ind w:firstLine="709"/>
            </w:pPr>
            <w:r>
              <w:rPr>
                <w:szCs w:val="28"/>
              </w:rPr>
              <w:t xml:space="preserve">LPS atzīst, ka </w:t>
            </w:r>
            <w:r w:rsidRPr="00DC0D6E">
              <w:rPr>
                <w:szCs w:val="28"/>
              </w:rPr>
              <w:t>Ilgtsp</w:t>
            </w:r>
            <w:r w:rsidRPr="00DC0D6E">
              <w:rPr>
                <w:rFonts w:hint="eastAsia"/>
                <w:szCs w:val="28"/>
              </w:rPr>
              <w:t>ē</w:t>
            </w:r>
            <w:r w:rsidRPr="00DC0D6E">
              <w:rPr>
                <w:szCs w:val="28"/>
              </w:rPr>
              <w:t>j</w:t>
            </w:r>
            <w:r w:rsidRPr="00DC0D6E">
              <w:rPr>
                <w:rFonts w:hint="eastAsia"/>
                <w:szCs w:val="28"/>
              </w:rPr>
              <w:t>ī</w:t>
            </w:r>
            <w:r w:rsidRPr="00DC0D6E">
              <w:rPr>
                <w:szCs w:val="28"/>
              </w:rPr>
              <w:t>ga b</w:t>
            </w:r>
            <w:r w:rsidRPr="00DC0D6E">
              <w:rPr>
                <w:rFonts w:hint="eastAsia"/>
                <w:szCs w:val="28"/>
              </w:rPr>
              <w:t>ū</w:t>
            </w:r>
            <w:r w:rsidRPr="00DC0D6E">
              <w:rPr>
                <w:szCs w:val="28"/>
              </w:rPr>
              <w:t>vniec</w:t>
            </w:r>
            <w:r w:rsidRPr="00DC0D6E">
              <w:rPr>
                <w:rFonts w:hint="eastAsia"/>
                <w:szCs w:val="28"/>
              </w:rPr>
              <w:t>ī</w:t>
            </w:r>
            <w:r w:rsidRPr="00DC0D6E">
              <w:rPr>
                <w:szCs w:val="28"/>
              </w:rPr>
              <w:t>ba ir svar</w:t>
            </w:r>
            <w:r w:rsidRPr="00DC0D6E">
              <w:rPr>
                <w:rFonts w:hint="eastAsia"/>
                <w:szCs w:val="28"/>
              </w:rPr>
              <w:t>ī</w:t>
            </w:r>
            <w:r w:rsidRPr="00DC0D6E">
              <w:rPr>
                <w:szCs w:val="28"/>
              </w:rPr>
              <w:t>ga, ta</w:t>
            </w:r>
            <w:r w:rsidRPr="00DC0D6E">
              <w:rPr>
                <w:rFonts w:hint="eastAsia"/>
                <w:szCs w:val="28"/>
              </w:rPr>
              <w:t>č</w:t>
            </w:r>
            <w:r w:rsidRPr="00DC0D6E">
              <w:rPr>
                <w:szCs w:val="28"/>
              </w:rPr>
              <w:t>u to var pan</w:t>
            </w:r>
            <w:r w:rsidRPr="00DC0D6E">
              <w:rPr>
                <w:rFonts w:hint="eastAsia"/>
                <w:szCs w:val="28"/>
              </w:rPr>
              <w:t>ā</w:t>
            </w:r>
            <w:r w:rsidRPr="00DC0D6E">
              <w:rPr>
                <w:szCs w:val="28"/>
              </w:rPr>
              <w:t>kt ar elast</w:t>
            </w:r>
            <w:r w:rsidRPr="00DC0D6E">
              <w:rPr>
                <w:rFonts w:hint="eastAsia"/>
                <w:szCs w:val="28"/>
              </w:rPr>
              <w:t>ī</w:t>
            </w:r>
            <w:r w:rsidRPr="00DC0D6E">
              <w:rPr>
                <w:szCs w:val="28"/>
              </w:rPr>
              <w:t>g</w:t>
            </w:r>
            <w:r w:rsidRPr="00DC0D6E">
              <w:rPr>
                <w:rFonts w:hint="eastAsia"/>
                <w:szCs w:val="28"/>
              </w:rPr>
              <w:t>ā</w:t>
            </w:r>
            <w:r w:rsidRPr="00DC0D6E">
              <w:rPr>
                <w:szCs w:val="28"/>
              </w:rPr>
              <w:t>ku regul</w:t>
            </w:r>
            <w:r w:rsidRPr="00DC0D6E">
              <w:rPr>
                <w:rFonts w:hint="eastAsia"/>
                <w:szCs w:val="28"/>
              </w:rPr>
              <w:t>ē</w:t>
            </w:r>
            <w:r w:rsidRPr="00DC0D6E">
              <w:rPr>
                <w:szCs w:val="28"/>
              </w:rPr>
              <w:t>jumu, piem</w:t>
            </w:r>
            <w:r w:rsidRPr="00DC0D6E">
              <w:rPr>
                <w:rFonts w:hint="eastAsia"/>
                <w:szCs w:val="28"/>
              </w:rPr>
              <w:t>ē</w:t>
            </w:r>
            <w:r w:rsidRPr="00DC0D6E">
              <w:rPr>
                <w:szCs w:val="28"/>
              </w:rPr>
              <w:t>ram, nosakot koka konstrukciju izmantošanu k</w:t>
            </w:r>
            <w:r w:rsidRPr="00DC0D6E">
              <w:rPr>
                <w:rFonts w:hint="eastAsia"/>
                <w:szCs w:val="28"/>
              </w:rPr>
              <w:t>ā</w:t>
            </w:r>
            <w:r w:rsidRPr="00DC0D6E">
              <w:rPr>
                <w:szCs w:val="28"/>
              </w:rPr>
              <w:t xml:space="preserve"> priorit</w:t>
            </w:r>
            <w:r w:rsidRPr="00DC0D6E">
              <w:rPr>
                <w:rFonts w:hint="eastAsia"/>
                <w:szCs w:val="28"/>
              </w:rPr>
              <w:t>ā</w:t>
            </w:r>
            <w:r w:rsidRPr="00DC0D6E">
              <w:rPr>
                <w:szCs w:val="28"/>
              </w:rPr>
              <w:t>ru, nevis oblig</w:t>
            </w:r>
            <w:r w:rsidRPr="00DC0D6E">
              <w:rPr>
                <w:rFonts w:hint="eastAsia"/>
                <w:szCs w:val="28"/>
              </w:rPr>
              <w:t>ā</w:t>
            </w:r>
            <w:r w:rsidRPr="00DC0D6E">
              <w:rPr>
                <w:szCs w:val="28"/>
              </w:rPr>
              <w:t>tu risin</w:t>
            </w:r>
            <w:r w:rsidRPr="00DC0D6E">
              <w:rPr>
                <w:rFonts w:hint="eastAsia"/>
                <w:szCs w:val="28"/>
              </w:rPr>
              <w:t>ā</w:t>
            </w:r>
            <w:r w:rsidRPr="00DC0D6E">
              <w:rPr>
                <w:szCs w:val="28"/>
              </w:rPr>
              <w:t>jumu, vai paredzot minim</w:t>
            </w:r>
            <w:r w:rsidRPr="00DC0D6E">
              <w:rPr>
                <w:rFonts w:hint="eastAsia"/>
                <w:szCs w:val="28"/>
              </w:rPr>
              <w:t>ā</w:t>
            </w:r>
            <w:r w:rsidRPr="00DC0D6E">
              <w:rPr>
                <w:szCs w:val="28"/>
              </w:rPr>
              <w:t xml:space="preserve">lo koka </w:t>
            </w:r>
            <w:r w:rsidRPr="00DC0D6E">
              <w:rPr>
                <w:rFonts w:hint="eastAsia"/>
                <w:szCs w:val="28"/>
              </w:rPr>
              <w:t>ī</w:t>
            </w:r>
            <w:r w:rsidRPr="00DC0D6E">
              <w:rPr>
                <w:szCs w:val="28"/>
              </w:rPr>
              <w:t>patsvaru projekt</w:t>
            </w:r>
            <w:r w:rsidRPr="00DC0D6E">
              <w:rPr>
                <w:rFonts w:hint="eastAsia"/>
                <w:szCs w:val="28"/>
              </w:rPr>
              <w:t>ā</w:t>
            </w:r>
            <w:r w:rsidRPr="00DC0D6E">
              <w:rPr>
                <w:szCs w:val="28"/>
              </w:rPr>
              <w:t xml:space="preserve">. Tas </w:t>
            </w:r>
            <w:r w:rsidRPr="00DC0D6E">
              <w:rPr>
                <w:rFonts w:hint="eastAsia"/>
                <w:szCs w:val="28"/>
              </w:rPr>
              <w:t>ļ</w:t>
            </w:r>
            <w:r w:rsidRPr="00DC0D6E">
              <w:rPr>
                <w:szCs w:val="28"/>
              </w:rPr>
              <w:t>autu saglab</w:t>
            </w:r>
            <w:r w:rsidRPr="00DC0D6E">
              <w:rPr>
                <w:rFonts w:hint="eastAsia"/>
                <w:szCs w:val="28"/>
              </w:rPr>
              <w:t>ā</w:t>
            </w:r>
            <w:r w:rsidRPr="00DC0D6E">
              <w:rPr>
                <w:szCs w:val="28"/>
              </w:rPr>
              <w:t>t ilgtsp</w:t>
            </w:r>
            <w:r w:rsidRPr="00DC0D6E">
              <w:rPr>
                <w:rFonts w:hint="eastAsia"/>
                <w:szCs w:val="28"/>
              </w:rPr>
              <w:t>ē</w:t>
            </w:r>
            <w:r w:rsidRPr="00DC0D6E">
              <w:rPr>
                <w:szCs w:val="28"/>
              </w:rPr>
              <w:t>jas principus, vienlaikus nodrošinot ekonomisko un tehnisko efektivit</w:t>
            </w:r>
            <w:r w:rsidRPr="00DC0D6E">
              <w:rPr>
                <w:rFonts w:hint="eastAsia"/>
                <w:szCs w:val="28"/>
              </w:rPr>
              <w:t>ā</w:t>
            </w:r>
            <w:r w:rsidRPr="00DC0D6E">
              <w:rPr>
                <w:szCs w:val="28"/>
              </w:rPr>
              <w:t>ti.</w:t>
            </w:r>
          </w:p>
        </w:tc>
        <w:tc>
          <w:tcPr>
            <w:tcW w:w="1650" w:type="dxa"/>
            <w:shd w:val="clear" w:color="auto" w:fill="FFFFFF"/>
            <w:noWrap/>
            <w:tcMar>
              <w:top w:w="75" w:type="dxa"/>
              <w:left w:w="75" w:type="dxa"/>
              <w:bottom w:w="75" w:type="dxa"/>
              <w:right w:w="75" w:type="dxa"/>
            </w:tcMar>
            <w:vAlign w:val="center"/>
          </w:tcPr>
          <w:p w14:paraId="5874CB65" w14:textId="59AFD6C2" w:rsidR="00AE2BD1" w:rsidRDefault="00F34FBA">
            <w:pPr>
              <w:jc w:val="left"/>
            </w:pPr>
            <w:r>
              <w:t>Ņemts vērā</w:t>
            </w:r>
          </w:p>
        </w:tc>
        <w:tc>
          <w:tcPr>
            <w:tcW w:w="4056" w:type="dxa"/>
            <w:shd w:val="clear" w:color="auto" w:fill="FFFFFF"/>
            <w:noWrap/>
            <w:tcMar>
              <w:top w:w="75" w:type="dxa"/>
              <w:left w:w="75" w:type="dxa"/>
              <w:bottom w:w="75" w:type="dxa"/>
              <w:right w:w="75" w:type="dxa"/>
            </w:tcMar>
            <w:vAlign w:val="center"/>
          </w:tcPr>
          <w:p w14:paraId="13ABD0AA" w14:textId="17EA3CCA" w:rsidR="00AE2BD1" w:rsidRDefault="00F34FBA" w:rsidP="008732E1">
            <w:r>
              <w:t>5.</w:t>
            </w:r>
            <w:r w:rsidRPr="00295184">
              <w:rPr>
                <w:vertAlign w:val="superscript"/>
              </w:rPr>
              <w:t>1</w:t>
            </w:r>
            <w:r>
              <w:t xml:space="preserve"> punkts svītrot no projekta, kā arī svītrota attiecīgā informācija no anotācijas.</w:t>
            </w:r>
          </w:p>
        </w:tc>
      </w:tr>
    </w:tbl>
    <w:p w14:paraId="68C0D7BF" w14:textId="77777777" w:rsidR="00ED37CC" w:rsidRDefault="00ED37CC"/>
    <w:tbl>
      <w:tblPr>
        <w:tblStyle w:val="a"/>
        <w:tblW w:w="14567" w:type="dxa"/>
        <w:tblLayout w:type="fixed"/>
        <w:tblLook w:val="0600" w:firstRow="0" w:lastRow="0" w:firstColumn="0" w:lastColumn="0" w:noHBand="1" w:noVBand="1"/>
      </w:tblPr>
      <w:tblGrid>
        <w:gridCol w:w="4855"/>
        <w:gridCol w:w="4856"/>
        <w:gridCol w:w="4856"/>
      </w:tblGrid>
      <w:tr w:rsidR="00ED37CC" w14:paraId="48427E8A" w14:textId="77777777">
        <w:tc>
          <w:tcPr>
            <w:tcW w:w="4855" w:type="dxa"/>
            <w:shd w:val="clear" w:color="auto" w:fill="FFFFFF"/>
            <w:noWrap/>
            <w:tcMar>
              <w:top w:w="75" w:type="dxa"/>
              <w:left w:w="75" w:type="dxa"/>
              <w:bottom w:w="75" w:type="dxa"/>
              <w:right w:w="75" w:type="dxa"/>
            </w:tcMar>
            <w:vAlign w:val="center"/>
          </w:tcPr>
          <w:p w14:paraId="49219F3D" w14:textId="77777777" w:rsidR="00ED37CC" w:rsidRDefault="00103420">
            <w:pPr>
              <w:jc w:val="left"/>
            </w:pPr>
            <w:r>
              <w:t>Datums**</w:t>
            </w:r>
          </w:p>
        </w:tc>
        <w:tc>
          <w:tcPr>
            <w:tcW w:w="4856" w:type="dxa"/>
            <w:shd w:val="clear" w:color="auto" w:fill="FFFFFF"/>
            <w:noWrap/>
            <w:tcMar>
              <w:top w:w="75" w:type="dxa"/>
              <w:left w:w="75" w:type="dxa"/>
              <w:bottom w:w="75" w:type="dxa"/>
              <w:right w:w="75" w:type="dxa"/>
            </w:tcMar>
            <w:vAlign w:val="center"/>
          </w:tcPr>
          <w:p w14:paraId="29E6D3BC" w14:textId="77777777" w:rsidR="00ED37CC" w:rsidRDefault="00ED37CC">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7558E58" w14:textId="77777777" w:rsidR="00ED37CC" w:rsidRDefault="00ED37CC"/>
        </w:tc>
      </w:tr>
      <w:tr w:rsidR="00ED37CC" w14:paraId="376F87DC" w14:textId="77777777">
        <w:tc>
          <w:tcPr>
            <w:tcW w:w="4855" w:type="dxa"/>
            <w:shd w:val="clear" w:color="auto" w:fill="FFFFFF"/>
            <w:noWrap/>
            <w:tcMar>
              <w:top w:w="75" w:type="dxa"/>
              <w:left w:w="75" w:type="dxa"/>
              <w:bottom w:w="75" w:type="dxa"/>
              <w:right w:w="75" w:type="dxa"/>
            </w:tcMar>
            <w:vAlign w:val="center"/>
          </w:tcPr>
          <w:p w14:paraId="39FD534B" w14:textId="77777777" w:rsidR="00ED37CC" w:rsidRDefault="00ED37CC"/>
        </w:tc>
        <w:tc>
          <w:tcPr>
            <w:tcW w:w="4856" w:type="dxa"/>
            <w:shd w:val="clear" w:color="auto" w:fill="FFFFFF"/>
            <w:noWrap/>
            <w:tcMar>
              <w:top w:w="75" w:type="dxa"/>
              <w:left w:w="75" w:type="dxa"/>
              <w:bottom w:w="75" w:type="dxa"/>
              <w:right w:w="75" w:type="dxa"/>
            </w:tcMar>
            <w:vAlign w:val="center"/>
          </w:tcPr>
          <w:p w14:paraId="467131F2" w14:textId="77777777" w:rsidR="00ED37CC" w:rsidRDefault="0010342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F95F89C" w14:textId="77777777" w:rsidR="00ED37CC" w:rsidRDefault="00ED37CC"/>
        </w:tc>
      </w:tr>
      <w:tr w:rsidR="00ED37CC" w14:paraId="78ECAF92" w14:textId="77777777">
        <w:tc>
          <w:tcPr>
            <w:tcW w:w="4855" w:type="dxa"/>
            <w:shd w:val="clear" w:color="auto" w:fill="FFFFFF"/>
            <w:noWrap/>
            <w:tcMar>
              <w:top w:w="75" w:type="dxa"/>
              <w:left w:w="75" w:type="dxa"/>
              <w:bottom w:w="75" w:type="dxa"/>
              <w:right w:w="75" w:type="dxa"/>
            </w:tcMar>
            <w:vAlign w:val="center"/>
          </w:tcPr>
          <w:p w14:paraId="4CBBE142" w14:textId="77777777" w:rsidR="00ED37CC" w:rsidRDefault="00103420">
            <w:pPr>
              <w:jc w:val="left"/>
            </w:pPr>
            <w:r>
              <w:t>Atbildīgā persona</w:t>
            </w:r>
          </w:p>
        </w:tc>
        <w:tc>
          <w:tcPr>
            <w:tcW w:w="4856" w:type="dxa"/>
            <w:shd w:val="clear" w:color="auto" w:fill="FFFFFF"/>
            <w:noWrap/>
            <w:tcMar>
              <w:top w:w="75" w:type="dxa"/>
              <w:left w:w="75" w:type="dxa"/>
              <w:bottom w:w="75" w:type="dxa"/>
              <w:right w:w="75" w:type="dxa"/>
            </w:tcMar>
            <w:vAlign w:val="center"/>
          </w:tcPr>
          <w:p w14:paraId="5EBD6EC0" w14:textId="77777777" w:rsidR="00ED37CC" w:rsidRDefault="00ED37CC">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44EAA6C" w14:textId="77777777" w:rsidR="00ED37CC" w:rsidRDefault="00ED37CC"/>
        </w:tc>
      </w:tr>
      <w:tr w:rsidR="00ED37CC" w14:paraId="40EC67AE" w14:textId="77777777">
        <w:tc>
          <w:tcPr>
            <w:tcW w:w="4855" w:type="dxa"/>
            <w:shd w:val="clear" w:color="auto" w:fill="FFFFFF"/>
            <w:noWrap/>
            <w:tcMar>
              <w:top w:w="75" w:type="dxa"/>
              <w:left w:w="75" w:type="dxa"/>
              <w:bottom w:w="75" w:type="dxa"/>
              <w:right w:w="75" w:type="dxa"/>
            </w:tcMar>
            <w:vAlign w:val="center"/>
          </w:tcPr>
          <w:p w14:paraId="2B18790A" w14:textId="77777777" w:rsidR="00ED37CC" w:rsidRDefault="00ED37CC"/>
        </w:tc>
        <w:tc>
          <w:tcPr>
            <w:tcW w:w="4856" w:type="dxa"/>
            <w:shd w:val="clear" w:color="auto" w:fill="FFFFFF"/>
            <w:noWrap/>
            <w:tcMar>
              <w:top w:w="75" w:type="dxa"/>
              <w:left w:w="75" w:type="dxa"/>
              <w:bottom w:w="75" w:type="dxa"/>
              <w:right w:w="75" w:type="dxa"/>
            </w:tcMar>
            <w:vAlign w:val="center"/>
          </w:tcPr>
          <w:p w14:paraId="64E837FE" w14:textId="77777777" w:rsidR="00ED37CC" w:rsidRDefault="00103420">
            <w:pPr>
              <w:jc w:val="center"/>
            </w:pPr>
            <w:r>
              <w:t>(vārds, uzvārds, paraksts**)</w:t>
            </w:r>
          </w:p>
        </w:tc>
        <w:tc>
          <w:tcPr>
            <w:tcW w:w="4856" w:type="dxa"/>
            <w:shd w:val="clear" w:color="auto" w:fill="FFFFFF"/>
            <w:noWrap/>
            <w:tcMar>
              <w:top w:w="75" w:type="dxa"/>
              <w:left w:w="75" w:type="dxa"/>
              <w:bottom w:w="75" w:type="dxa"/>
              <w:right w:w="75" w:type="dxa"/>
            </w:tcMar>
            <w:vAlign w:val="center"/>
          </w:tcPr>
          <w:p w14:paraId="3BB8F06D" w14:textId="77777777" w:rsidR="00ED37CC" w:rsidRDefault="00ED37CC"/>
        </w:tc>
      </w:tr>
    </w:tbl>
    <w:p w14:paraId="48524F22" w14:textId="77777777" w:rsidR="00ED37CC" w:rsidRDefault="00ED37CC"/>
    <w:p w14:paraId="18B2ABC9" w14:textId="77777777" w:rsidR="00ED37CC" w:rsidRDefault="00103420">
      <w:r>
        <w:t>Piezīmes.</w:t>
      </w:r>
    </w:p>
    <w:p w14:paraId="19750F18" w14:textId="77777777" w:rsidR="00ED37CC" w:rsidRDefault="00103420">
      <w:r>
        <w:t>* Iesniedzējs (fiziskai personai – vārds, uzvārds, juridiskai personai – nosaukums) var tikt publiskots, ja viņš tam ir piekritis. Ja attiecināms, iesniedzējs norāda interešu pārstāvja reģistrācijas numuru.</w:t>
      </w:r>
    </w:p>
    <w:p w14:paraId="3AD0D3BA" w14:textId="77777777" w:rsidR="00ED37CC" w:rsidRDefault="00103420">
      <w:r>
        <w:t>** Dokumenta rekvizītus "datums" un "paraksts" neaizpilda, ja elektroniskais dokuments ir sagatavots atbilstoši normatīvajiem aktiem par elektronisko dokumentu noformēšanu.</w:t>
      </w:r>
    </w:p>
    <w:sectPr w:rsidR="00ED37CC">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02E0F" w14:textId="77777777" w:rsidR="00957CFA" w:rsidRDefault="00957CFA">
      <w:r>
        <w:separator/>
      </w:r>
    </w:p>
  </w:endnote>
  <w:endnote w:type="continuationSeparator" w:id="0">
    <w:p w14:paraId="0B0BDF8F" w14:textId="77777777" w:rsidR="00957CFA" w:rsidRDefault="00957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7A00" w14:textId="77777777" w:rsidR="00ED37CC" w:rsidRDefault="00103420">
    <w:pPr>
      <w:jc w:val="right"/>
    </w:pPr>
    <w:r>
      <w:rPr>
        <w:sz w:val="24"/>
        <w:szCs w:val="24"/>
      </w:rPr>
      <w:fldChar w:fldCharType="begin"/>
    </w:r>
    <w:r>
      <w:rPr>
        <w:sz w:val="24"/>
        <w:szCs w:val="24"/>
      </w:rPr>
      <w:instrText>PAGE</w:instrText>
    </w:r>
    <w:r>
      <w:rPr>
        <w:sz w:val="24"/>
        <w:szCs w:val="24"/>
      </w:rPr>
      <w:fldChar w:fldCharType="separate"/>
    </w:r>
    <w:r w:rsidR="001F769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66F6" w14:textId="77777777" w:rsidR="00103420" w:rsidRDefault="0010342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4E42" w14:textId="77777777" w:rsidR="00957CFA" w:rsidRDefault="00957CFA">
      <w:r>
        <w:separator/>
      </w:r>
    </w:p>
  </w:footnote>
  <w:footnote w:type="continuationSeparator" w:id="0">
    <w:p w14:paraId="347EDD13" w14:textId="77777777" w:rsidR="00957CFA" w:rsidRDefault="00957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86FE" w14:textId="77777777" w:rsidR="00ED37CC" w:rsidRDefault="00103420">
    <w:pPr>
      <w:pStyle w:val="Header"/>
      <w:contextualSpacing w:val="0"/>
    </w:pPr>
    <w:r>
      <w:t>Viedokļu pārskats 25-TA-1857</w:t>
    </w:r>
    <w:r>
      <w:br/>
      <w:t>Izdrukāts 27.10.2025. 09.33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36EF" w14:textId="77777777" w:rsidR="00ED37CC" w:rsidRDefault="00103420">
    <w:pPr>
      <w:pStyle w:val="Header"/>
      <w:contextualSpacing w:val="0"/>
    </w:pPr>
    <w:r>
      <w:t>Viedokļu pārskats 25-TA-1857</w:t>
    </w:r>
    <w:r>
      <w:br/>
      <w:t>Izdrukāts 27.10.2025. 09.33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CC0E71"/>
    <w:multiLevelType w:val="hybridMultilevel"/>
    <w:tmpl w:val="75A6BF7E"/>
    <w:lvl w:ilvl="0" w:tplc="0A825FA4">
      <w:start w:val="1"/>
      <w:numFmt w:val="bullet"/>
      <w:lvlText w:val="-"/>
      <w:lvlJc w:val="left"/>
      <w:pPr>
        <w:ind w:left="720" w:hanging="360"/>
      </w:pPr>
      <w:rPr>
        <w:rFonts w:ascii="Arial" w:eastAsiaTheme="minorEastAsia"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53408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D37CC"/>
    <w:rsid w:val="00001375"/>
    <w:rsid w:val="0000714E"/>
    <w:rsid w:val="000703C3"/>
    <w:rsid w:val="0009154D"/>
    <w:rsid w:val="00095272"/>
    <w:rsid w:val="000A38FE"/>
    <w:rsid w:val="000B79CB"/>
    <w:rsid w:val="00103420"/>
    <w:rsid w:val="00103DF6"/>
    <w:rsid w:val="00136FF9"/>
    <w:rsid w:val="00161DCA"/>
    <w:rsid w:val="0017489C"/>
    <w:rsid w:val="001F3D3D"/>
    <w:rsid w:val="001F7698"/>
    <w:rsid w:val="00261F64"/>
    <w:rsid w:val="00270555"/>
    <w:rsid w:val="002713C3"/>
    <w:rsid w:val="0027220B"/>
    <w:rsid w:val="00295184"/>
    <w:rsid w:val="002960D5"/>
    <w:rsid w:val="002972F3"/>
    <w:rsid w:val="002B0C06"/>
    <w:rsid w:val="002D22FE"/>
    <w:rsid w:val="002E4DB1"/>
    <w:rsid w:val="002E5819"/>
    <w:rsid w:val="003056A8"/>
    <w:rsid w:val="00331B3A"/>
    <w:rsid w:val="00341B4A"/>
    <w:rsid w:val="003552E4"/>
    <w:rsid w:val="003A2E15"/>
    <w:rsid w:val="003E0616"/>
    <w:rsid w:val="003E67E5"/>
    <w:rsid w:val="004465E8"/>
    <w:rsid w:val="0045219C"/>
    <w:rsid w:val="00452383"/>
    <w:rsid w:val="00483776"/>
    <w:rsid w:val="004878E3"/>
    <w:rsid w:val="004D5384"/>
    <w:rsid w:val="004E2164"/>
    <w:rsid w:val="004E2215"/>
    <w:rsid w:val="004E2757"/>
    <w:rsid w:val="004F2FC3"/>
    <w:rsid w:val="005561DC"/>
    <w:rsid w:val="005C5CB0"/>
    <w:rsid w:val="005F7288"/>
    <w:rsid w:val="005F7923"/>
    <w:rsid w:val="00603226"/>
    <w:rsid w:val="0062319E"/>
    <w:rsid w:val="00656AE0"/>
    <w:rsid w:val="00671363"/>
    <w:rsid w:val="00694C6D"/>
    <w:rsid w:val="006B5FB8"/>
    <w:rsid w:val="00703036"/>
    <w:rsid w:val="007141BD"/>
    <w:rsid w:val="00740657"/>
    <w:rsid w:val="00756133"/>
    <w:rsid w:val="00775874"/>
    <w:rsid w:val="00775E30"/>
    <w:rsid w:val="007A2870"/>
    <w:rsid w:val="007B7321"/>
    <w:rsid w:val="007E65E7"/>
    <w:rsid w:val="00804CF5"/>
    <w:rsid w:val="0082112E"/>
    <w:rsid w:val="00854A6C"/>
    <w:rsid w:val="0086279A"/>
    <w:rsid w:val="00863CD5"/>
    <w:rsid w:val="00873231"/>
    <w:rsid w:val="008732E1"/>
    <w:rsid w:val="008C2806"/>
    <w:rsid w:val="00910394"/>
    <w:rsid w:val="0091526E"/>
    <w:rsid w:val="009179C0"/>
    <w:rsid w:val="009347A9"/>
    <w:rsid w:val="00945B8D"/>
    <w:rsid w:val="0095601F"/>
    <w:rsid w:val="00957CFA"/>
    <w:rsid w:val="009C104F"/>
    <w:rsid w:val="009D33AF"/>
    <w:rsid w:val="009E10CE"/>
    <w:rsid w:val="009E45EF"/>
    <w:rsid w:val="00A355FA"/>
    <w:rsid w:val="00A576A1"/>
    <w:rsid w:val="00A86AA5"/>
    <w:rsid w:val="00AB1CE6"/>
    <w:rsid w:val="00AC3E75"/>
    <w:rsid w:val="00AC66E3"/>
    <w:rsid w:val="00AE1AC2"/>
    <w:rsid w:val="00AE2BD1"/>
    <w:rsid w:val="00B24F38"/>
    <w:rsid w:val="00B6390F"/>
    <w:rsid w:val="00B909D1"/>
    <w:rsid w:val="00B92AF2"/>
    <w:rsid w:val="00BB2A51"/>
    <w:rsid w:val="00BB3414"/>
    <w:rsid w:val="00BD2255"/>
    <w:rsid w:val="00BD4449"/>
    <w:rsid w:val="00BD5274"/>
    <w:rsid w:val="00C146E9"/>
    <w:rsid w:val="00C2602A"/>
    <w:rsid w:val="00C27B18"/>
    <w:rsid w:val="00C55EC8"/>
    <w:rsid w:val="00C82E82"/>
    <w:rsid w:val="00CA468F"/>
    <w:rsid w:val="00CA561D"/>
    <w:rsid w:val="00CB1E6F"/>
    <w:rsid w:val="00CB21F8"/>
    <w:rsid w:val="00CD7AE5"/>
    <w:rsid w:val="00CF34EF"/>
    <w:rsid w:val="00D07A9E"/>
    <w:rsid w:val="00D14628"/>
    <w:rsid w:val="00D311FF"/>
    <w:rsid w:val="00D43942"/>
    <w:rsid w:val="00D74B6D"/>
    <w:rsid w:val="00D834CB"/>
    <w:rsid w:val="00D879B0"/>
    <w:rsid w:val="00DB0635"/>
    <w:rsid w:val="00DB7489"/>
    <w:rsid w:val="00DD03EE"/>
    <w:rsid w:val="00DE2319"/>
    <w:rsid w:val="00DE6DA2"/>
    <w:rsid w:val="00DF5D2C"/>
    <w:rsid w:val="00DF6F9C"/>
    <w:rsid w:val="00E06F85"/>
    <w:rsid w:val="00E12308"/>
    <w:rsid w:val="00E15487"/>
    <w:rsid w:val="00E16C93"/>
    <w:rsid w:val="00E36162"/>
    <w:rsid w:val="00E3701D"/>
    <w:rsid w:val="00E43369"/>
    <w:rsid w:val="00E65B8E"/>
    <w:rsid w:val="00E851CD"/>
    <w:rsid w:val="00EA0373"/>
    <w:rsid w:val="00EA4CB3"/>
    <w:rsid w:val="00EB217A"/>
    <w:rsid w:val="00ED37CC"/>
    <w:rsid w:val="00EF3FF4"/>
    <w:rsid w:val="00F0257A"/>
    <w:rsid w:val="00F062AE"/>
    <w:rsid w:val="00F34FBA"/>
    <w:rsid w:val="00F6028B"/>
    <w:rsid w:val="00F63246"/>
    <w:rsid w:val="00F91DD2"/>
    <w:rsid w:val="00FA6B8D"/>
    <w:rsid w:val="00FC528F"/>
    <w:rsid w:val="00FD7C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4FEC5"/>
  <w15:docId w15:val="{56A01553-E44E-4E6C-9AAC-AE99EA69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2913</Words>
  <Characters>21908</Characters>
  <Application>Microsoft Office Word</Application>
  <DocSecurity>0</DocSecurity>
  <Lines>509</Lines>
  <Paragraphs>168</Paragraphs>
  <ScaleCrop>false</ScaleCrop>
  <HeadingPairs>
    <vt:vector size="2" baseType="variant">
      <vt:variant>
        <vt:lpstr>Title</vt:lpstr>
      </vt:variant>
      <vt:variant>
        <vt:i4>1</vt:i4>
      </vt:variant>
    </vt:vector>
  </HeadingPairs>
  <TitlesOfParts>
    <vt:vector size="1" baseType="lpstr">
      <vt:lpstr>viedoklu_parskats_25-TA-1857.docx</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viedoklu_parskats_25-TA-1857.docx</dc:title>
  <cp:lastModifiedBy>Evija Avota</cp:lastModifiedBy>
  <cp:revision>137</cp:revision>
  <cp:lastPrinted>2025-10-27T08:31:00Z</cp:lastPrinted>
  <dcterms:created xsi:type="dcterms:W3CDTF">2025-11-04T07:51:00Z</dcterms:created>
  <dcterms:modified xsi:type="dcterms:W3CDTF">2025-11-05T13:04:00Z</dcterms:modified>
</cp:coreProperties>
</file>