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DE3A6D4" w14:textId="6EB1DBE8" w:rsidR="00C60D37" w:rsidRPr="00DA46BE" w:rsidRDefault="00933203">
      <w:pPr>
        <w:spacing w:after="240"/>
        <w:jc w:val="center"/>
        <w:rPr>
          <w:b/>
          <w:color w:val="auto"/>
        </w:rPr>
      </w:pPr>
      <w:r w:rsidRPr="00DA46BE">
        <w:rPr>
          <w:b/>
          <w:color w:val="auto"/>
        </w:rPr>
        <w:t>“Publiskās apspriešanas laikā 06.06.2025. - 20.06.2025. saņemto viedokļu, priekšlikumu un iebildumu apkopojums par Grozījumi</w:t>
      </w:r>
      <w:r w:rsidR="006F0AAD">
        <w:rPr>
          <w:b/>
          <w:color w:val="auto"/>
        </w:rPr>
        <w:t>em</w:t>
      </w:r>
      <w:r w:rsidRPr="00DA46BE">
        <w:rPr>
          <w:b/>
          <w:color w:val="auto"/>
        </w:rPr>
        <w:t xml:space="preserve"> Trauksmes celšanas likumā”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DA46BE" w:rsidRPr="00DA46BE" w14:paraId="688F293F" w14:textId="77777777" w:rsidTr="3D8B3FCD">
        <w:tc>
          <w:tcPr>
            <w:tcW w:w="750" w:type="dxa"/>
            <w:shd w:val="clear" w:color="auto" w:fill="FFFFFF" w:themeFill="background1"/>
            <w:noWrap/>
            <w:tcMar>
              <w:top w:w="75" w:type="dxa"/>
              <w:left w:w="75" w:type="dxa"/>
              <w:bottom w:w="75" w:type="dxa"/>
              <w:right w:w="75" w:type="dxa"/>
            </w:tcMar>
            <w:vAlign w:val="center"/>
          </w:tcPr>
          <w:p w14:paraId="7183D7A6" w14:textId="77777777" w:rsidR="00C60D37" w:rsidRPr="00DA46BE" w:rsidRDefault="00933203">
            <w:pPr>
              <w:jc w:val="center"/>
              <w:rPr>
                <w:color w:val="auto"/>
              </w:rPr>
            </w:pPr>
            <w:r w:rsidRPr="00DA46BE">
              <w:rPr>
                <w:b/>
                <w:color w:val="auto"/>
              </w:rPr>
              <w:t>Nr.p.k.</w:t>
            </w:r>
          </w:p>
        </w:tc>
        <w:tc>
          <w:tcPr>
            <w:tcW w:w="4055" w:type="dxa"/>
            <w:shd w:val="clear" w:color="auto" w:fill="FFFFFF" w:themeFill="background1"/>
            <w:noWrap/>
            <w:tcMar>
              <w:top w:w="75" w:type="dxa"/>
              <w:left w:w="75" w:type="dxa"/>
              <w:bottom w:w="75" w:type="dxa"/>
              <w:right w:w="75" w:type="dxa"/>
            </w:tcMar>
            <w:vAlign w:val="center"/>
          </w:tcPr>
          <w:p w14:paraId="69F4E3D4" w14:textId="77777777" w:rsidR="00C60D37" w:rsidRPr="00DA46BE" w:rsidRDefault="00933203">
            <w:pPr>
              <w:jc w:val="center"/>
              <w:rPr>
                <w:color w:val="auto"/>
              </w:rPr>
            </w:pPr>
            <w:r w:rsidRPr="00DA46BE">
              <w:rPr>
                <w:b/>
                <w:color w:val="auto"/>
              </w:rPr>
              <w:t>Viedokļa / priekšlikuma / iebilduma iesniedzējs*</w:t>
            </w:r>
          </w:p>
        </w:tc>
        <w:tc>
          <w:tcPr>
            <w:tcW w:w="4056" w:type="dxa"/>
            <w:shd w:val="clear" w:color="auto" w:fill="FFFFFF" w:themeFill="background1"/>
            <w:noWrap/>
            <w:tcMar>
              <w:top w:w="75" w:type="dxa"/>
              <w:left w:w="75" w:type="dxa"/>
              <w:bottom w:w="75" w:type="dxa"/>
              <w:right w:w="75" w:type="dxa"/>
            </w:tcMar>
            <w:vAlign w:val="center"/>
          </w:tcPr>
          <w:p w14:paraId="72D524D6" w14:textId="77777777" w:rsidR="00C60D37" w:rsidRPr="00DA46BE" w:rsidRDefault="00933203">
            <w:pPr>
              <w:jc w:val="center"/>
              <w:rPr>
                <w:color w:val="auto"/>
              </w:rPr>
            </w:pPr>
            <w:r w:rsidRPr="00DA46BE">
              <w:rPr>
                <w:b/>
                <w:color w:val="auto"/>
              </w:rPr>
              <w:t>Iesniegtā viedokļa / priekšlikuma / iebilduma būtība</w:t>
            </w:r>
          </w:p>
        </w:tc>
        <w:tc>
          <w:tcPr>
            <w:tcW w:w="1650" w:type="dxa"/>
            <w:shd w:val="clear" w:color="auto" w:fill="FFFFFF" w:themeFill="background1"/>
            <w:noWrap/>
            <w:tcMar>
              <w:top w:w="75" w:type="dxa"/>
              <w:left w:w="75" w:type="dxa"/>
              <w:bottom w:w="75" w:type="dxa"/>
              <w:right w:w="75" w:type="dxa"/>
            </w:tcMar>
            <w:vAlign w:val="center"/>
          </w:tcPr>
          <w:p w14:paraId="75F32A5D" w14:textId="77777777" w:rsidR="00C60D37" w:rsidRPr="00DA46BE" w:rsidRDefault="00933203">
            <w:pPr>
              <w:jc w:val="center"/>
              <w:rPr>
                <w:color w:val="auto"/>
              </w:rPr>
            </w:pPr>
            <w:r w:rsidRPr="00DA46BE">
              <w:rPr>
                <w:b/>
                <w:color w:val="auto"/>
              </w:rPr>
              <w:t>Ņemts vērā / ņemts vērā daļēji / nav ņemts vērā</w:t>
            </w:r>
          </w:p>
        </w:tc>
        <w:tc>
          <w:tcPr>
            <w:tcW w:w="4056" w:type="dxa"/>
            <w:shd w:val="clear" w:color="auto" w:fill="FFFFFF" w:themeFill="background1"/>
            <w:noWrap/>
            <w:tcMar>
              <w:top w:w="75" w:type="dxa"/>
              <w:left w:w="75" w:type="dxa"/>
              <w:bottom w:w="75" w:type="dxa"/>
              <w:right w:w="75" w:type="dxa"/>
            </w:tcMar>
            <w:vAlign w:val="center"/>
          </w:tcPr>
          <w:p w14:paraId="0CAD1F1C" w14:textId="77777777" w:rsidR="00C60D37" w:rsidRPr="00DA46BE" w:rsidRDefault="00933203">
            <w:pPr>
              <w:jc w:val="center"/>
              <w:rPr>
                <w:color w:val="auto"/>
              </w:rPr>
            </w:pPr>
            <w:r w:rsidRPr="00DA46BE">
              <w:rPr>
                <w:b/>
                <w:color w:val="auto"/>
              </w:rPr>
              <w:t>Skaidrojums, kādā veidā viedoklis / priekšlikums / iebildums ir ņemts vērā vai ņemts vērā daļēji, vai pamatojums, ja viedoklis / priekšlikums / iebildums nav ņemts vērā</w:t>
            </w:r>
          </w:p>
        </w:tc>
      </w:tr>
      <w:tr w:rsidR="00DA46BE" w:rsidRPr="00DA46BE" w14:paraId="71B8E1B0" w14:textId="77777777" w:rsidTr="3D8B3FCD">
        <w:tc>
          <w:tcPr>
            <w:tcW w:w="750" w:type="dxa"/>
            <w:vMerge w:val="restart"/>
            <w:shd w:val="clear" w:color="auto" w:fill="FFFFFF" w:themeFill="background1"/>
            <w:noWrap/>
            <w:tcMar>
              <w:top w:w="75" w:type="dxa"/>
              <w:left w:w="75" w:type="dxa"/>
              <w:bottom w:w="75" w:type="dxa"/>
              <w:right w:w="75" w:type="dxa"/>
            </w:tcMar>
            <w:vAlign w:val="center"/>
          </w:tcPr>
          <w:p w14:paraId="572E38F1" w14:textId="77777777" w:rsidR="007131C8" w:rsidRPr="00DA46BE" w:rsidRDefault="007131C8">
            <w:pPr>
              <w:jc w:val="center"/>
              <w:rPr>
                <w:color w:val="auto"/>
              </w:rPr>
            </w:pPr>
            <w:r w:rsidRPr="00DA46BE">
              <w:rPr>
                <w:color w:val="auto"/>
              </w:rPr>
              <w:t>1.</w:t>
            </w:r>
          </w:p>
        </w:tc>
        <w:tc>
          <w:tcPr>
            <w:tcW w:w="4055" w:type="dxa"/>
            <w:vMerge w:val="restart"/>
            <w:shd w:val="clear" w:color="auto" w:fill="FFFFFF" w:themeFill="background1"/>
            <w:noWrap/>
            <w:tcMar>
              <w:top w:w="75" w:type="dxa"/>
              <w:left w:w="75" w:type="dxa"/>
              <w:bottom w:w="75" w:type="dxa"/>
              <w:right w:w="75" w:type="dxa"/>
            </w:tcMar>
            <w:vAlign w:val="center"/>
          </w:tcPr>
          <w:p w14:paraId="234B5456" w14:textId="77777777" w:rsidR="007131C8" w:rsidRPr="00DA46BE" w:rsidRDefault="007131C8">
            <w:pPr>
              <w:jc w:val="left"/>
              <w:rPr>
                <w:color w:val="auto"/>
              </w:rPr>
            </w:pPr>
            <w:r w:rsidRPr="00DA46BE">
              <w:rPr>
                <w:color w:val="auto"/>
              </w:rPr>
              <w:t>Biedrība "Sabiedrība par atklātību - Delna", Krista Asmusa</w:t>
            </w:r>
          </w:p>
        </w:tc>
        <w:tc>
          <w:tcPr>
            <w:tcW w:w="4056" w:type="dxa"/>
            <w:shd w:val="clear" w:color="auto" w:fill="FFFFFF" w:themeFill="background1"/>
            <w:noWrap/>
            <w:tcMar>
              <w:top w:w="75" w:type="dxa"/>
              <w:left w:w="75" w:type="dxa"/>
              <w:bottom w:w="75" w:type="dxa"/>
              <w:right w:w="75" w:type="dxa"/>
            </w:tcMar>
            <w:vAlign w:val="center"/>
          </w:tcPr>
          <w:p w14:paraId="1BEF3878" w14:textId="58042EC6" w:rsidR="007131C8" w:rsidRPr="00DA46BE" w:rsidRDefault="007131C8">
            <w:pPr>
              <w:jc w:val="left"/>
              <w:rPr>
                <w:color w:val="auto"/>
              </w:rPr>
            </w:pPr>
            <w:r w:rsidRPr="00DA46BE">
              <w:rPr>
                <w:color w:val="auto"/>
              </w:rPr>
              <w:t>Biedrība “Sabiedrība par atklātību – Delna” (turpmāk – Delna) ir iepazinusies ar likumprojektu “Grozījumi Trauksmes celšanas likumā” (Nr. 25-TA-925; turpmāk – Likumprojekts). Delna atzinīgi novērtē izstrādāto Likumprojektu un plānotos uzlabojumus Trauksmes celšanas likumā (turpmāk – Likums).</w:t>
            </w:r>
            <w:r w:rsidRPr="00DA46BE">
              <w:rPr>
                <w:color w:val="auto"/>
              </w:rPr>
              <w:br/>
              <w:t xml:space="preserve">Balstoties Delnas līdzšinējā darbā un izstrādātajā Trauksmes celšanas ex-post izvērtējumā, Delna sniedz savus komentārus un priekšlikumus Likumprojektam. Priekšlikumi ir gan attiecībā uz izstrādāto Likumprojekta </w:t>
            </w:r>
            <w:r w:rsidRPr="00DA46BE">
              <w:rPr>
                <w:color w:val="auto"/>
              </w:rPr>
              <w:lastRenderedPageBreak/>
              <w:t>redakciju, gan arī citiem jautājumiem, ko Delna rekomendē iekļaut Likumprojektā.</w:t>
            </w:r>
          </w:p>
        </w:tc>
        <w:tc>
          <w:tcPr>
            <w:tcW w:w="1650" w:type="dxa"/>
            <w:shd w:val="clear" w:color="auto" w:fill="FFFFFF" w:themeFill="background1"/>
            <w:noWrap/>
            <w:tcMar>
              <w:top w:w="75" w:type="dxa"/>
              <w:left w:w="75" w:type="dxa"/>
              <w:bottom w:w="75" w:type="dxa"/>
              <w:right w:w="75" w:type="dxa"/>
            </w:tcMar>
            <w:vAlign w:val="center"/>
          </w:tcPr>
          <w:p w14:paraId="4356032C" w14:textId="77777777" w:rsidR="007131C8" w:rsidRPr="00DA46BE" w:rsidRDefault="007131C8">
            <w:pPr>
              <w:jc w:val="left"/>
              <w:rPr>
                <w:color w:val="auto"/>
              </w:rPr>
            </w:pPr>
          </w:p>
        </w:tc>
        <w:tc>
          <w:tcPr>
            <w:tcW w:w="4056" w:type="dxa"/>
            <w:shd w:val="clear" w:color="auto" w:fill="FFFFFF" w:themeFill="background1"/>
            <w:noWrap/>
            <w:tcMar>
              <w:top w:w="75" w:type="dxa"/>
              <w:left w:w="75" w:type="dxa"/>
              <w:bottom w:w="75" w:type="dxa"/>
              <w:right w:w="75" w:type="dxa"/>
            </w:tcMar>
            <w:vAlign w:val="center"/>
          </w:tcPr>
          <w:p w14:paraId="55C495EF" w14:textId="77777777" w:rsidR="007131C8" w:rsidRPr="00DA46BE" w:rsidRDefault="007131C8">
            <w:pPr>
              <w:jc w:val="left"/>
              <w:rPr>
                <w:color w:val="auto"/>
              </w:rPr>
            </w:pPr>
          </w:p>
        </w:tc>
      </w:tr>
      <w:tr w:rsidR="00DA46BE" w:rsidRPr="00DA46BE" w14:paraId="5845A8A8" w14:textId="77777777" w:rsidTr="3D8B3FCD">
        <w:tc>
          <w:tcPr>
            <w:tcW w:w="750" w:type="dxa"/>
            <w:vMerge/>
            <w:noWrap/>
            <w:tcMar>
              <w:top w:w="75" w:type="dxa"/>
              <w:left w:w="75" w:type="dxa"/>
              <w:bottom w:w="75" w:type="dxa"/>
              <w:right w:w="75" w:type="dxa"/>
            </w:tcMar>
            <w:vAlign w:val="center"/>
          </w:tcPr>
          <w:p w14:paraId="1C40BD31" w14:textId="77777777" w:rsidR="007131C8" w:rsidRPr="00DA46BE" w:rsidRDefault="007131C8">
            <w:pPr>
              <w:jc w:val="center"/>
              <w:rPr>
                <w:color w:val="auto"/>
              </w:rPr>
            </w:pPr>
          </w:p>
        </w:tc>
        <w:tc>
          <w:tcPr>
            <w:tcW w:w="4055" w:type="dxa"/>
            <w:vMerge/>
            <w:noWrap/>
            <w:tcMar>
              <w:top w:w="75" w:type="dxa"/>
              <w:left w:w="75" w:type="dxa"/>
              <w:bottom w:w="75" w:type="dxa"/>
              <w:right w:w="75" w:type="dxa"/>
            </w:tcMar>
            <w:vAlign w:val="center"/>
          </w:tcPr>
          <w:p w14:paraId="7AA6BACB" w14:textId="77777777" w:rsidR="007131C8" w:rsidRPr="00DA46BE" w:rsidRDefault="007131C8">
            <w:pPr>
              <w:jc w:val="left"/>
              <w:rPr>
                <w:color w:val="auto"/>
              </w:rPr>
            </w:pPr>
          </w:p>
        </w:tc>
        <w:tc>
          <w:tcPr>
            <w:tcW w:w="4056" w:type="dxa"/>
            <w:shd w:val="clear" w:color="auto" w:fill="FFFFFF" w:themeFill="background1"/>
            <w:noWrap/>
            <w:tcMar>
              <w:top w:w="75" w:type="dxa"/>
              <w:left w:w="75" w:type="dxa"/>
              <w:bottom w:w="75" w:type="dxa"/>
              <w:right w:w="75" w:type="dxa"/>
            </w:tcMar>
            <w:vAlign w:val="center"/>
          </w:tcPr>
          <w:p w14:paraId="6958EE36" w14:textId="10FD0CA6" w:rsidR="007131C8" w:rsidRPr="00DA46BE" w:rsidRDefault="007131C8">
            <w:pPr>
              <w:jc w:val="left"/>
              <w:rPr>
                <w:color w:val="auto"/>
              </w:rPr>
            </w:pPr>
            <w:r w:rsidRPr="00DA46BE">
              <w:rPr>
                <w:b/>
                <w:color w:val="auto"/>
              </w:rPr>
              <w:t>1.priekšlikums</w:t>
            </w:r>
            <w:r w:rsidRPr="00DA46BE">
              <w:rPr>
                <w:color w:val="auto"/>
              </w:rPr>
              <w:br/>
              <w:t>Delna rekomendē papildināt Likumprojekta 6.punktā paredzēto Likuma 6.panta pirmās daļas redakciju ar teikumu “Trauksmes cēlēja ziņojumu var iesniegt arī anonīmi.”</w:t>
            </w:r>
            <w:r w:rsidRPr="00DA46BE">
              <w:rPr>
                <w:color w:val="auto"/>
              </w:rPr>
              <w:br/>
              <w:t xml:space="preserve">Anonīma ziņošana nodrošina mehānismu informācijas atklāšanai tiem indivīdiem, kuri baidās no represijām vai uzskata, ka viņu identitātes aizsardzībai netiks pievērsta pietiekama uzmanība, un tādēļ citādi neuzdrošinātos celt trauksmi. Lai gan nereti tiek izteiktas bažas, ka anonīma ziņošana var mazināt personiskās atbildības sajūtu un tādējādi veicināt nepatiesu ziņojumu sniegšanu, pētījumi un prakse liecina, ka nenozīmīgi vai nepatiesi ziņojumi ir reti sastopami, arī gadījumos, kad tiek pieļauta anonīma ziņošana. </w:t>
            </w:r>
            <w:r w:rsidRPr="00DA46BE">
              <w:rPr>
                <w:color w:val="auto"/>
              </w:rPr>
              <w:lastRenderedPageBreak/>
              <w:t>Tādējādi, lai pilnveidotu trauksmes celšanas regulējumu un veicinātu tā mērķa sasniegšanu, likumdevējam būtu jāparedz iespēja iesniegt trauksmes cēlēja ziņojumus anonīmi un jānosaka pienākums tādus ziņojumus izskatīt.</w:t>
            </w:r>
            <w:r w:rsidRPr="00DA46BE">
              <w:rPr>
                <w:color w:val="auto"/>
              </w:rPr>
              <w:br/>
              <w:t>Delna pieļauj, ka anonīmas ziņošanas iestrādāšana Likumā var prasīt arī citu normu pielāgošanu, kā arī nepieciešamību uzsvērt, ka anonīma ziņojuma gadījumā nav iespējams personai nodrošināt Likumā minētās aizsardzības garantijas.</w:t>
            </w:r>
          </w:p>
        </w:tc>
        <w:tc>
          <w:tcPr>
            <w:tcW w:w="1650" w:type="dxa"/>
            <w:shd w:val="clear" w:color="auto" w:fill="FFFFFF" w:themeFill="background1"/>
            <w:noWrap/>
            <w:tcMar>
              <w:top w:w="75" w:type="dxa"/>
              <w:left w:w="75" w:type="dxa"/>
              <w:bottom w:w="75" w:type="dxa"/>
              <w:right w:w="75" w:type="dxa"/>
            </w:tcMar>
            <w:vAlign w:val="center"/>
          </w:tcPr>
          <w:p w14:paraId="13B78030" w14:textId="61C7C385" w:rsidR="007131C8" w:rsidRPr="00DA46BE" w:rsidRDefault="007131C8">
            <w:pPr>
              <w:jc w:val="left"/>
              <w:rPr>
                <w:color w:val="auto"/>
              </w:rPr>
            </w:pPr>
            <w:r w:rsidRPr="00DA46BE">
              <w:rPr>
                <w:color w:val="auto"/>
              </w:rPr>
              <w:lastRenderedPageBreak/>
              <w:t>Nav ņemts vērā</w:t>
            </w:r>
          </w:p>
        </w:tc>
        <w:tc>
          <w:tcPr>
            <w:tcW w:w="4056" w:type="dxa"/>
            <w:shd w:val="clear" w:color="auto" w:fill="FFFFFF" w:themeFill="background1"/>
            <w:noWrap/>
            <w:tcMar>
              <w:top w:w="75" w:type="dxa"/>
              <w:left w:w="75" w:type="dxa"/>
              <w:bottom w:w="75" w:type="dxa"/>
              <w:right w:w="75" w:type="dxa"/>
            </w:tcMar>
            <w:vAlign w:val="center"/>
          </w:tcPr>
          <w:p w14:paraId="4F4DF9F1" w14:textId="67098CD6" w:rsidR="007131C8" w:rsidRPr="00DA46BE" w:rsidRDefault="000D3554">
            <w:pPr>
              <w:jc w:val="left"/>
              <w:rPr>
                <w:color w:val="auto"/>
              </w:rPr>
            </w:pPr>
            <w:r w:rsidRPr="00DA46BE">
              <w:rPr>
                <w:color w:val="auto"/>
              </w:rPr>
              <w:t xml:space="preserve">Šobrīd iespēja </w:t>
            </w:r>
            <w:r w:rsidR="005E5CCF">
              <w:rPr>
                <w:color w:val="auto"/>
              </w:rPr>
              <w:t xml:space="preserve">iesniegt ziņojumu anonīmi </w:t>
            </w:r>
            <w:r w:rsidR="00776D3E" w:rsidRPr="00DA46BE">
              <w:rPr>
                <w:color w:val="auto"/>
              </w:rPr>
              <w:t xml:space="preserve">Trauksmes celšanas likumā </w:t>
            </w:r>
            <w:r w:rsidRPr="00DA46BE">
              <w:rPr>
                <w:color w:val="auto"/>
              </w:rPr>
              <w:t xml:space="preserve">netiek paredzēta, arī </w:t>
            </w:r>
            <w:r w:rsidR="00AD6105" w:rsidRPr="00DA46BE">
              <w:rPr>
                <w:color w:val="auto"/>
              </w:rPr>
              <w:t>Eiropas Parlamenta un Padomes 2019. gada 23. oktobra Direktīva (ES) 2019/1937 par to personu aizsardzību, kuras ziņo par Savienības tiesību aktu pārkāpumiem</w:t>
            </w:r>
            <w:r w:rsidR="00776D3E" w:rsidRPr="00DA46BE">
              <w:rPr>
                <w:color w:val="auto"/>
              </w:rPr>
              <w:t>,</w:t>
            </w:r>
            <w:r w:rsidRPr="00DA46BE">
              <w:rPr>
                <w:color w:val="auto"/>
              </w:rPr>
              <w:t xml:space="preserve"> neparedz</w:t>
            </w:r>
            <w:r w:rsidR="00776D3E" w:rsidRPr="00DA46BE">
              <w:rPr>
                <w:color w:val="auto"/>
              </w:rPr>
              <w:t>, ka dalībvalstīm ir obligāti jāparedz anonīmā ziņošana</w:t>
            </w:r>
            <w:r w:rsidRPr="00DA46BE">
              <w:rPr>
                <w:color w:val="auto"/>
              </w:rPr>
              <w:t>.</w:t>
            </w:r>
          </w:p>
          <w:p w14:paraId="7F4ED151" w14:textId="36E2518C" w:rsidR="000D3554" w:rsidRPr="00DA46BE" w:rsidRDefault="004A4517">
            <w:pPr>
              <w:jc w:val="left"/>
              <w:rPr>
                <w:color w:val="auto"/>
              </w:rPr>
            </w:pPr>
            <w:r w:rsidRPr="00DA46BE">
              <w:rPr>
                <w:color w:val="auto"/>
              </w:rPr>
              <w:t>Norādāms, ka 2025. gada 25</w:t>
            </w:r>
            <w:r w:rsidR="000D3554" w:rsidRPr="00DA46BE">
              <w:rPr>
                <w:color w:val="auto"/>
              </w:rPr>
              <w:t xml:space="preserve">. aprīļa </w:t>
            </w:r>
            <w:r w:rsidRPr="00DA46BE">
              <w:rPr>
                <w:color w:val="auto"/>
              </w:rPr>
              <w:t>apaļā galda diskusijā ar ekspertiem un lēmumu pieņēmējiem trauksmes celšanas jomā, ko rīkoja biedrība “Sabiedrība par atklātību – Delna” sadarbībā ar Valsts kanceleju, izskanēja, ka anonīmā ziņošana šobrīd nebūtu atbalstāma, tostarp</w:t>
            </w:r>
            <w:r w:rsidR="000D3554" w:rsidRPr="00DA46BE">
              <w:rPr>
                <w:color w:val="auto"/>
              </w:rPr>
              <w:t xml:space="preserve"> Valsts ieņēmuma </w:t>
            </w:r>
            <w:r w:rsidRPr="00DA46BE">
              <w:rPr>
                <w:color w:val="auto"/>
              </w:rPr>
              <w:t xml:space="preserve">dienesta </w:t>
            </w:r>
            <w:r w:rsidR="000D3554" w:rsidRPr="00DA46BE">
              <w:rPr>
                <w:color w:val="auto"/>
              </w:rPr>
              <w:t>pārstāve noradīja, ka, tomēr pieredze</w:t>
            </w:r>
            <w:r w:rsidR="0075169F">
              <w:rPr>
                <w:color w:val="auto"/>
              </w:rPr>
              <w:t xml:space="preserve"> </w:t>
            </w:r>
            <w:r w:rsidR="0075169F">
              <w:rPr>
                <w:color w:val="auto"/>
              </w:rPr>
              <w:t>ar anonīmiem ziņojumiem par pārkāpumiem nodokļu jomā</w:t>
            </w:r>
            <w:r w:rsidR="000D3554" w:rsidRPr="00DA46BE">
              <w:rPr>
                <w:color w:val="auto"/>
              </w:rPr>
              <w:t xml:space="preserve"> liecina, ka atļaujot anonīmo</w:t>
            </w:r>
            <w:r w:rsidRPr="00DA46BE">
              <w:rPr>
                <w:color w:val="auto"/>
              </w:rPr>
              <w:t xml:space="preserve"> </w:t>
            </w:r>
            <w:r w:rsidR="00D848AE" w:rsidRPr="00DA46BE">
              <w:rPr>
                <w:color w:val="auto"/>
              </w:rPr>
              <w:t xml:space="preserve">ziņošanu var novērot, ka zūd atbildības sajūta un tādējādi </w:t>
            </w:r>
            <w:r w:rsidR="00D848AE" w:rsidRPr="00DA46BE">
              <w:rPr>
                <w:color w:val="auto"/>
              </w:rPr>
              <w:lastRenderedPageBreak/>
              <w:t xml:space="preserve">tiek veicināts nepatiesu </w:t>
            </w:r>
            <w:r w:rsidR="0039764E" w:rsidRPr="00DA46BE">
              <w:rPr>
                <w:color w:val="auto"/>
              </w:rPr>
              <w:t xml:space="preserve">un maldinošu </w:t>
            </w:r>
            <w:r w:rsidR="00D848AE" w:rsidRPr="00DA46BE">
              <w:rPr>
                <w:color w:val="auto"/>
              </w:rPr>
              <w:t>ziņojumu sniegšan</w:t>
            </w:r>
            <w:r w:rsidR="0039764E" w:rsidRPr="00DA46BE">
              <w:rPr>
                <w:color w:val="auto"/>
              </w:rPr>
              <w:t>a</w:t>
            </w:r>
            <w:r w:rsidR="000D3554" w:rsidRPr="00DA46BE">
              <w:rPr>
                <w:color w:val="auto"/>
              </w:rPr>
              <w:t>.</w:t>
            </w:r>
          </w:p>
          <w:p w14:paraId="43515AAE" w14:textId="77777777" w:rsidR="000D3554" w:rsidRPr="00DA46BE" w:rsidRDefault="000D3554">
            <w:pPr>
              <w:jc w:val="left"/>
              <w:rPr>
                <w:color w:val="auto"/>
              </w:rPr>
            </w:pPr>
          </w:p>
          <w:p w14:paraId="108C6895" w14:textId="77777777" w:rsidR="000D3554" w:rsidRPr="00DA46BE" w:rsidRDefault="000D3554">
            <w:pPr>
              <w:jc w:val="left"/>
              <w:rPr>
                <w:color w:val="auto"/>
              </w:rPr>
            </w:pPr>
            <w:r w:rsidRPr="00DA46BE">
              <w:rPr>
                <w:color w:val="auto"/>
              </w:rPr>
              <w:t xml:space="preserve">Papildus norādāms, ka praksē ziņojumus jau tagad var iesniegt anonīmi. Turklāt iestādes bieži pa trauksmes kanāliem saņem anonīmus iesniegumus un, ievērojot labas pārvaldības principu, izvērtē tos un izskata kā iesniegumus. Proti, lai arī likums neparedz aizsardzības garantijas šādos gadījumos, tomēr praksē šādi ziņojumi tiek saņemti un izskatīti, ja informācija ir pietiekama. </w:t>
            </w:r>
          </w:p>
          <w:p w14:paraId="31CA1ABC" w14:textId="77777777" w:rsidR="000D3554" w:rsidRPr="00DA46BE" w:rsidRDefault="000D3554">
            <w:pPr>
              <w:jc w:val="left"/>
              <w:rPr>
                <w:color w:val="auto"/>
              </w:rPr>
            </w:pPr>
            <w:r w:rsidRPr="00DA46BE">
              <w:rPr>
                <w:color w:val="auto"/>
              </w:rPr>
              <w:t>Tāpat nav mazsvarīgi, ka Trauksmes celšanas likuma 10. panta trešā daļa paredz, ka, ja persona ziņojusi anonīmi un vēlāk ir identificēta kā trauksmes cēlējs, tad personai tiek nodrošinātas aizsardzības garantijas.</w:t>
            </w:r>
          </w:p>
          <w:p w14:paraId="41143B87" w14:textId="77777777" w:rsidR="0039764E" w:rsidRPr="00DA46BE" w:rsidRDefault="0039764E">
            <w:pPr>
              <w:jc w:val="left"/>
              <w:rPr>
                <w:color w:val="auto"/>
              </w:rPr>
            </w:pPr>
          </w:p>
          <w:p w14:paraId="3FA39E1F" w14:textId="17471F49" w:rsidR="0039764E" w:rsidRPr="00DA46BE" w:rsidRDefault="00634D87">
            <w:pPr>
              <w:jc w:val="left"/>
              <w:rPr>
                <w:color w:val="auto"/>
              </w:rPr>
            </w:pPr>
            <w:r w:rsidRPr="00DA46BE">
              <w:rPr>
                <w:color w:val="auto"/>
              </w:rPr>
              <w:t>Vienlaikus norādāms, ka likumprojekts</w:t>
            </w:r>
            <w:r w:rsidR="00472B59">
              <w:rPr>
                <w:color w:val="auto"/>
              </w:rPr>
              <w:t xml:space="preserve"> paredz, ka</w:t>
            </w:r>
            <w:r w:rsidRPr="00DA46BE">
              <w:rPr>
                <w:color w:val="auto"/>
              </w:rPr>
              <w:t xml:space="preserve"> ar 2026. gada 1. janvāri </w:t>
            </w:r>
            <w:r w:rsidR="00472B59">
              <w:rPr>
                <w:color w:val="auto"/>
              </w:rPr>
              <w:t xml:space="preserve">trauksmes cēlēju kontaktpunkts </w:t>
            </w:r>
            <w:r w:rsidRPr="00DA46BE">
              <w:rPr>
                <w:color w:val="auto"/>
              </w:rPr>
              <w:t xml:space="preserve">pāriet uz Korupcijas novēršanas un apkarošanas biroju, </w:t>
            </w:r>
            <w:r w:rsidRPr="00DA46BE">
              <w:rPr>
                <w:color w:val="auto"/>
              </w:rPr>
              <w:lastRenderedPageBreak/>
              <w:t xml:space="preserve">kur ir izveidota ziņošanas platforma </w:t>
            </w:r>
            <w:hyperlink r:id="rId6">
              <w:r w:rsidRPr="00DA46BE">
                <w:rPr>
                  <w:rStyle w:val="Hyperlink"/>
                  <w:color w:val="auto"/>
                </w:rPr>
                <w:t>https://zino.knab.gov.lv</w:t>
              </w:r>
            </w:hyperlink>
            <w:r w:rsidRPr="00DA46BE">
              <w:rPr>
                <w:color w:val="auto"/>
              </w:rPr>
              <w:t xml:space="preserve">, kurā var iesniegt ziņojumus </w:t>
            </w:r>
            <w:r w:rsidR="00F51E24">
              <w:rPr>
                <w:color w:val="auto"/>
              </w:rPr>
              <w:t xml:space="preserve">arī </w:t>
            </w:r>
            <w:r w:rsidRPr="00DA46BE">
              <w:rPr>
                <w:color w:val="auto"/>
              </w:rPr>
              <w:t>anonīmi. </w:t>
            </w:r>
          </w:p>
          <w:p w14:paraId="46594D15" w14:textId="0706D7FB" w:rsidR="0039764E" w:rsidRPr="00DA46BE" w:rsidRDefault="0039764E">
            <w:pPr>
              <w:jc w:val="left"/>
              <w:rPr>
                <w:color w:val="auto"/>
              </w:rPr>
            </w:pPr>
          </w:p>
          <w:p w14:paraId="01BD5A81" w14:textId="051A2847" w:rsidR="0039764E" w:rsidRPr="00DA46BE" w:rsidRDefault="095C88A1">
            <w:pPr>
              <w:jc w:val="left"/>
              <w:rPr>
                <w:color w:val="auto"/>
              </w:rPr>
            </w:pPr>
            <w:r w:rsidRPr="00DA46BE">
              <w:rPr>
                <w:color w:val="auto"/>
              </w:rPr>
              <w:t>Ievērojot visu minēto, šobrīd nav atbalstāma Trauksmes celšanas likuma papildināšana ar iespēju celt trauksmi anonīmi.</w:t>
            </w:r>
          </w:p>
        </w:tc>
      </w:tr>
      <w:tr w:rsidR="00DA46BE" w:rsidRPr="00DA46BE" w14:paraId="160E6DEC" w14:textId="77777777" w:rsidTr="3D8B3FCD">
        <w:tc>
          <w:tcPr>
            <w:tcW w:w="750" w:type="dxa"/>
            <w:vMerge/>
            <w:noWrap/>
            <w:tcMar>
              <w:top w:w="75" w:type="dxa"/>
              <w:left w:w="75" w:type="dxa"/>
              <w:bottom w:w="75" w:type="dxa"/>
              <w:right w:w="75" w:type="dxa"/>
            </w:tcMar>
            <w:vAlign w:val="center"/>
          </w:tcPr>
          <w:p w14:paraId="7857CD9C" w14:textId="77777777" w:rsidR="007131C8" w:rsidRPr="00DA46BE" w:rsidRDefault="007131C8">
            <w:pPr>
              <w:jc w:val="center"/>
              <w:rPr>
                <w:color w:val="auto"/>
              </w:rPr>
            </w:pPr>
          </w:p>
        </w:tc>
        <w:tc>
          <w:tcPr>
            <w:tcW w:w="4055" w:type="dxa"/>
            <w:vMerge/>
            <w:noWrap/>
            <w:tcMar>
              <w:top w:w="75" w:type="dxa"/>
              <w:left w:w="75" w:type="dxa"/>
              <w:bottom w:w="75" w:type="dxa"/>
              <w:right w:w="75" w:type="dxa"/>
            </w:tcMar>
            <w:vAlign w:val="center"/>
          </w:tcPr>
          <w:p w14:paraId="5B77D813" w14:textId="77777777" w:rsidR="007131C8" w:rsidRPr="00DA46BE" w:rsidRDefault="007131C8">
            <w:pPr>
              <w:jc w:val="left"/>
              <w:rPr>
                <w:color w:val="auto"/>
              </w:rPr>
            </w:pPr>
          </w:p>
        </w:tc>
        <w:tc>
          <w:tcPr>
            <w:tcW w:w="4056" w:type="dxa"/>
            <w:shd w:val="clear" w:color="auto" w:fill="FFFFFF" w:themeFill="background1"/>
            <w:noWrap/>
            <w:tcMar>
              <w:top w:w="75" w:type="dxa"/>
              <w:left w:w="75" w:type="dxa"/>
              <w:bottom w:w="75" w:type="dxa"/>
              <w:right w:w="75" w:type="dxa"/>
            </w:tcMar>
            <w:vAlign w:val="center"/>
          </w:tcPr>
          <w:p w14:paraId="1FA93B3A" w14:textId="52D4FA52" w:rsidR="007131C8" w:rsidRPr="00DA46BE" w:rsidRDefault="007131C8">
            <w:pPr>
              <w:jc w:val="left"/>
              <w:rPr>
                <w:b/>
                <w:color w:val="auto"/>
              </w:rPr>
            </w:pPr>
            <w:r w:rsidRPr="00DA46BE">
              <w:rPr>
                <w:b/>
                <w:color w:val="auto"/>
              </w:rPr>
              <w:t>2.priekšlikums</w:t>
            </w:r>
            <w:r w:rsidRPr="00DA46BE">
              <w:rPr>
                <w:color w:val="auto"/>
              </w:rPr>
              <w:br/>
              <w:t>Aizstāt Likumprojekta 7.punktā norādītajā Likuma 7.panta ceturtās daļas redakcijā vārdus “un informē par to trauksmes cēlēju” ar vārdiem “saņemot trauksmes cēlēja piekrišanu”.</w:t>
            </w:r>
            <w:r w:rsidRPr="00DA46BE">
              <w:rPr>
                <w:color w:val="auto"/>
              </w:rPr>
              <w:br/>
              <w:t>Likums nosaka iestādes pienākumu pārsūtīt saņemto iesniegumu, ja tas nav tās kompetencē. Tomēr jāņem vērā, ka trauksmes cēlējiem var būt bijuši savi iemesli adresēt savu ziņojumu konkrētai iestādei, nevis citai (piemēram, uzticības trūkums). Tādēļ personas ziņojums nedrīkstētu automātiski pārsūtīt bez trauksmes cēlēja skaidras piekrišanas, un tikai viņa informēšana par pārsūtīšanu nav pietiekama. Tādējādi, lai pilnveidotu trauksmes celšanas regulējumu un veicinātu tā mērķa sasniegšanu, likumdevējam būtu likumā jānosaka pienākums saņemt trauksmes cēlēja skaidru piekrišanu pirms tā ziņojums tiek pārsūtīts izskatīšanai citai institūcijai.</w:t>
            </w:r>
          </w:p>
        </w:tc>
        <w:tc>
          <w:tcPr>
            <w:tcW w:w="1650" w:type="dxa"/>
            <w:shd w:val="clear" w:color="auto" w:fill="FFFFFF" w:themeFill="background1"/>
            <w:noWrap/>
            <w:tcMar>
              <w:top w:w="75" w:type="dxa"/>
              <w:left w:w="75" w:type="dxa"/>
              <w:bottom w:w="75" w:type="dxa"/>
              <w:right w:w="75" w:type="dxa"/>
            </w:tcMar>
            <w:vAlign w:val="center"/>
          </w:tcPr>
          <w:p w14:paraId="3A51F03F" w14:textId="3D46B8EB" w:rsidR="007131C8" w:rsidRPr="00DA46BE" w:rsidRDefault="00A11682">
            <w:pPr>
              <w:jc w:val="left"/>
              <w:rPr>
                <w:color w:val="auto"/>
              </w:rPr>
            </w:pPr>
            <w:r w:rsidRPr="00DA46BE">
              <w:rPr>
                <w:color w:val="auto"/>
              </w:rPr>
              <w:t>Nav ņemt</w:t>
            </w:r>
            <w:r w:rsidR="00695A58">
              <w:rPr>
                <w:color w:val="auto"/>
              </w:rPr>
              <w:t>s</w:t>
            </w:r>
            <w:r w:rsidRPr="00DA46BE">
              <w:rPr>
                <w:color w:val="auto"/>
              </w:rPr>
              <w:t xml:space="preserve"> vērā</w:t>
            </w:r>
          </w:p>
        </w:tc>
        <w:tc>
          <w:tcPr>
            <w:tcW w:w="4056" w:type="dxa"/>
            <w:shd w:val="clear" w:color="auto" w:fill="FFFFFF" w:themeFill="background1"/>
            <w:noWrap/>
            <w:tcMar>
              <w:top w:w="75" w:type="dxa"/>
              <w:left w:w="75" w:type="dxa"/>
              <w:bottom w:w="75" w:type="dxa"/>
              <w:right w:w="75" w:type="dxa"/>
            </w:tcMar>
            <w:vAlign w:val="center"/>
          </w:tcPr>
          <w:p w14:paraId="26CDCD29" w14:textId="77777777" w:rsidR="00FD45B5" w:rsidRDefault="00A11682" w:rsidP="3D8B3FCD">
            <w:pPr>
              <w:spacing w:line="259" w:lineRule="auto"/>
              <w:jc w:val="left"/>
              <w:rPr>
                <w:color w:val="auto"/>
              </w:rPr>
            </w:pPr>
            <w:r w:rsidRPr="00DA46BE">
              <w:rPr>
                <w:color w:val="auto"/>
              </w:rPr>
              <w:t xml:space="preserve">Piedāvātais risinājums </w:t>
            </w:r>
            <w:r w:rsidR="00F66D37" w:rsidRPr="00DA46BE">
              <w:rPr>
                <w:color w:val="auto"/>
              </w:rPr>
              <w:t>rada nevajadzīgu administratīvo slogu un</w:t>
            </w:r>
            <w:r w:rsidR="00D4315F" w:rsidRPr="00DA46BE">
              <w:rPr>
                <w:color w:val="auto"/>
              </w:rPr>
              <w:t xml:space="preserve"> </w:t>
            </w:r>
            <w:r w:rsidR="00F66D37" w:rsidRPr="00DA46BE">
              <w:rPr>
                <w:color w:val="auto"/>
              </w:rPr>
              <w:t xml:space="preserve">paildzina pārkāpuma izskatīšanu. </w:t>
            </w:r>
          </w:p>
          <w:p w14:paraId="19B8A6C1" w14:textId="65D42CD0" w:rsidR="00FD45B5" w:rsidRDefault="00FD45B5" w:rsidP="3D8B3FCD">
            <w:pPr>
              <w:spacing w:line="259" w:lineRule="auto"/>
              <w:jc w:val="left"/>
              <w:rPr>
                <w:color w:val="auto"/>
              </w:rPr>
            </w:pPr>
            <w:r>
              <w:rPr>
                <w:color w:val="auto"/>
              </w:rPr>
              <w:t>Priekšlikumā piedāvātais pēc būtības jau iekļauts</w:t>
            </w:r>
            <w:r>
              <w:rPr>
                <w:color w:val="auto"/>
              </w:rPr>
              <w:t xml:space="preserve"> 2022. gada 20. janvārī</w:t>
            </w:r>
            <w:r>
              <w:rPr>
                <w:color w:val="auto"/>
              </w:rPr>
              <w:t xml:space="preserve"> pieņemtajā Trauksmes celšanas likumā</w:t>
            </w:r>
            <w:r w:rsidR="00C512CE">
              <w:rPr>
                <w:color w:val="auto"/>
              </w:rPr>
              <w:t>.</w:t>
            </w:r>
          </w:p>
          <w:p w14:paraId="2FCD72D1" w14:textId="1828FCA7" w:rsidR="007131C8" w:rsidRPr="00DA46BE" w:rsidRDefault="009C65A0" w:rsidP="3D8B3FCD">
            <w:pPr>
              <w:spacing w:line="259" w:lineRule="auto"/>
              <w:jc w:val="left"/>
              <w:rPr>
                <w:color w:val="auto"/>
              </w:rPr>
            </w:pPr>
            <w:r>
              <w:rPr>
                <w:color w:val="auto"/>
              </w:rPr>
              <w:t>Proti</w:t>
            </w:r>
            <w:r w:rsidR="004D3E97" w:rsidRPr="00DA46BE">
              <w:rPr>
                <w:color w:val="auto"/>
              </w:rPr>
              <w:t xml:space="preserve">, lai nodrošinātu trauksmes cēlēja </w:t>
            </w:r>
            <w:r>
              <w:rPr>
                <w:color w:val="auto"/>
              </w:rPr>
              <w:t>interesēšu ievērošanu</w:t>
            </w:r>
            <w:r w:rsidR="157015A1" w:rsidRPr="00DA46BE">
              <w:rPr>
                <w:color w:val="auto"/>
              </w:rPr>
              <w:t>,</w:t>
            </w:r>
            <w:r w:rsidR="004D3E97" w:rsidRPr="00DA46BE">
              <w:rPr>
                <w:color w:val="auto"/>
              </w:rPr>
              <w:t xml:space="preserve"> jau pārņemot Eiropas Parlamenta un Padomes 2019. gada 23. oktobra Direktīvu (ES) 2019/1937 par to personu aizsardzību, kuras ziņo par Savienības tiesību aktu pārkāpumiem, Trauksmes celšanas likuma 7. panta ceturtajā daļā tika norādīts, ka </w:t>
            </w:r>
            <w:r w:rsidR="00391303" w:rsidRPr="00DA46BE">
              <w:rPr>
                <w:color w:val="auto"/>
              </w:rPr>
              <w:t>“</w:t>
            </w:r>
            <w:r w:rsidR="747A2901" w:rsidRPr="00DA46BE">
              <w:rPr>
                <w:color w:val="auto"/>
                <w:u w:val="single"/>
              </w:rPr>
              <w:t>j</w:t>
            </w:r>
            <w:r w:rsidR="00391303" w:rsidRPr="00DA46BE">
              <w:rPr>
                <w:color w:val="auto"/>
                <w:u w:val="single"/>
              </w:rPr>
              <w:t>a iesniegumu pārsūtīt nav lietderīgi</w:t>
            </w:r>
            <w:r w:rsidR="00391303" w:rsidRPr="00DA46BE">
              <w:rPr>
                <w:color w:val="auto"/>
              </w:rPr>
              <w:t>, informē personu, ka iesniegums nav institūcijas kompetencē, ja iespējams, norādot institūciju, kurā persona var vērsties ar iesniegumu.”</w:t>
            </w:r>
          </w:p>
          <w:p w14:paraId="0E0FCF89" w14:textId="77777777" w:rsidR="00391303" w:rsidRPr="00DA46BE" w:rsidRDefault="00391303">
            <w:pPr>
              <w:jc w:val="left"/>
              <w:rPr>
                <w:color w:val="auto"/>
              </w:rPr>
            </w:pPr>
            <w:r w:rsidRPr="00DA46BE">
              <w:rPr>
                <w:color w:val="auto"/>
              </w:rPr>
              <w:t xml:space="preserve">Trauksmes celšanas likuma sākotnējās ietekmes novērtējuma ziņojumā (anotācijā) tika norādīts, ka: </w:t>
            </w:r>
          </w:p>
          <w:p w14:paraId="06F8FAC6" w14:textId="77777777" w:rsidR="00C416C9" w:rsidRPr="00DA46BE" w:rsidRDefault="00C416C9" w:rsidP="00C416C9">
            <w:pPr>
              <w:jc w:val="left"/>
              <w:rPr>
                <w:i/>
                <w:iCs/>
                <w:color w:val="auto"/>
              </w:rPr>
            </w:pPr>
            <w:r w:rsidRPr="00DA46BE">
              <w:rPr>
                <w:color w:val="auto"/>
              </w:rPr>
              <w:t>“</w:t>
            </w:r>
            <w:r w:rsidRPr="00DA46BE">
              <w:rPr>
                <w:i/>
                <w:iCs/>
                <w:color w:val="auto"/>
              </w:rPr>
              <w:t>Šāds regulējums noteikts, ņemot vērā praksē konstatēto:</w:t>
            </w:r>
          </w:p>
          <w:p w14:paraId="18B93A1A" w14:textId="77777777" w:rsidR="00C416C9" w:rsidRPr="00DA46BE" w:rsidRDefault="00C416C9" w:rsidP="00C416C9">
            <w:pPr>
              <w:jc w:val="left"/>
              <w:rPr>
                <w:i/>
                <w:iCs/>
                <w:color w:val="auto"/>
              </w:rPr>
            </w:pPr>
            <w:r w:rsidRPr="00DA46BE">
              <w:rPr>
                <w:i/>
                <w:iCs/>
                <w:color w:val="auto"/>
              </w:rPr>
              <w:t>1) personas iesniegumā mēdz norādīt, ka nevēlas, lai tās iesniegums tiek pārsūtīts;</w:t>
            </w:r>
          </w:p>
          <w:p w14:paraId="14F6A574" w14:textId="77777777" w:rsidR="00C416C9" w:rsidRPr="00DA46BE" w:rsidRDefault="00C416C9" w:rsidP="00C416C9">
            <w:pPr>
              <w:jc w:val="left"/>
              <w:rPr>
                <w:i/>
                <w:iCs/>
                <w:color w:val="auto"/>
              </w:rPr>
            </w:pPr>
            <w:r w:rsidRPr="00DA46BE">
              <w:rPr>
                <w:i/>
                <w:iCs/>
                <w:color w:val="auto"/>
              </w:rPr>
              <w:t>2) ir acīmredzami, ka netiek celta trauksme, piemēram, informācija nav gūta, veicot darba pienākumus, jo tiek  informēts par sadzīvē novēroto;</w:t>
            </w:r>
          </w:p>
          <w:p w14:paraId="55361AD9" w14:textId="77777777" w:rsidR="00C416C9" w:rsidRPr="00DA46BE" w:rsidRDefault="00C416C9" w:rsidP="00C416C9">
            <w:pPr>
              <w:jc w:val="left"/>
              <w:rPr>
                <w:i/>
                <w:iCs/>
                <w:color w:val="auto"/>
              </w:rPr>
            </w:pPr>
            <w:r w:rsidRPr="00DA46BE">
              <w:rPr>
                <w:i/>
                <w:iCs/>
                <w:color w:val="auto"/>
              </w:rPr>
              <w:t>3) iesniegums ir adresēts vairākiem adresātiem, kur viens no tiem jau ir kompetentā institūcija. Līdz ar to iesnieguma pārsūtīšana nav lietderīga;</w:t>
            </w:r>
          </w:p>
          <w:p w14:paraId="747A61FF" w14:textId="26205997" w:rsidR="00391303" w:rsidRPr="00DA46BE" w:rsidRDefault="00C416C9">
            <w:pPr>
              <w:jc w:val="left"/>
              <w:rPr>
                <w:color w:val="auto"/>
              </w:rPr>
            </w:pPr>
            <w:r w:rsidRPr="00DA46BE">
              <w:rPr>
                <w:i/>
                <w:iCs/>
                <w:color w:val="auto"/>
              </w:rPr>
              <w:t>4) iesnieguma pārsūtīšana pirmšķietami var kaitēt trauksmes cēlējam. Kā piemēram, administratīvā lietā Nr. A420293619 būtu labāk, ja Latvijas Valsts prezidenta kanceleja informētu, ka tās ieskatā atbildīgā institūcija ir Labklājības ministrija un nepārsūtītu iesniegumu.</w:t>
            </w:r>
            <w:r w:rsidRPr="00DA46BE">
              <w:rPr>
                <w:color w:val="auto"/>
              </w:rPr>
              <w:t>”</w:t>
            </w:r>
          </w:p>
        </w:tc>
      </w:tr>
      <w:tr w:rsidR="00DA46BE" w:rsidRPr="00DA46BE" w14:paraId="48CDA3F7" w14:textId="77777777" w:rsidTr="3D8B3FCD">
        <w:tc>
          <w:tcPr>
            <w:tcW w:w="750" w:type="dxa"/>
            <w:vMerge/>
            <w:noWrap/>
            <w:tcMar>
              <w:top w:w="75" w:type="dxa"/>
              <w:left w:w="75" w:type="dxa"/>
              <w:bottom w:w="75" w:type="dxa"/>
              <w:right w:w="75" w:type="dxa"/>
            </w:tcMar>
            <w:vAlign w:val="center"/>
          </w:tcPr>
          <w:p w14:paraId="3BA620E0" w14:textId="77777777" w:rsidR="007131C8" w:rsidRPr="00DA46BE" w:rsidRDefault="007131C8">
            <w:pPr>
              <w:jc w:val="center"/>
              <w:rPr>
                <w:color w:val="auto"/>
              </w:rPr>
            </w:pPr>
          </w:p>
        </w:tc>
        <w:tc>
          <w:tcPr>
            <w:tcW w:w="4055" w:type="dxa"/>
            <w:vMerge/>
            <w:noWrap/>
            <w:tcMar>
              <w:top w:w="75" w:type="dxa"/>
              <w:left w:w="75" w:type="dxa"/>
              <w:bottom w:w="75" w:type="dxa"/>
              <w:right w:w="75" w:type="dxa"/>
            </w:tcMar>
            <w:vAlign w:val="center"/>
          </w:tcPr>
          <w:p w14:paraId="6F480BA9" w14:textId="77777777" w:rsidR="007131C8" w:rsidRPr="00DA46BE" w:rsidRDefault="007131C8">
            <w:pPr>
              <w:jc w:val="left"/>
              <w:rPr>
                <w:color w:val="auto"/>
              </w:rPr>
            </w:pPr>
          </w:p>
        </w:tc>
        <w:tc>
          <w:tcPr>
            <w:tcW w:w="4056" w:type="dxa"/>
            <w:shd w:val="clear" w:color="auto" w:fill="FFFFFF" w:themeFill="background1"/>
            <w:noWrap/>
            <w:tcMar>
              <w:top w:w="75" w:type="dxa"/>
              <w:left w:w="75" w:type="dxa"/>
              <w:bottom w:w="75" w:type="dxa"/>
              <w:right w:w="75" w:type="dxa"/>
            </w:tcMar>
            <w:vAlign w:val="center"/>
          </w:tcPr>
          <w:p w14:paraId="39F44DE1" w14:textId="625E4B8A" w:rsidR="007131C8" w:rsidRPr="00DA46BE" w:rsidRDefault="007131C8">
            <w:pPr>
              <w:jc w:val="left"/>
              <w:rPr>
                <w:b/>
                <w:color w:val="auto"/>
              </w:rPr>
            </w:pPr>
            <w:r w:rsidRPr="00DA46BE">
              <w:rPr>
                <w:b/>
                <w:color w:val="auto"/>
              </w:rPr>
              <w:t>3.priekšlikums</w:t>
            </w:r>
            <w:r w:rsidRPr="00DA46BE">
              <w:rPr>
                <w:color w:val="auto"/>
              </w:rPr>
              <w:br/>
              <w:t>Delna vērš uzmanību, ka būtu nepieciešams precizēt Likumprojekta 11.punktā iekļauto Likuma 13.panta pirmās daļas 14.punkta redakciju, precizējot, kas ir tie saraksti, par kuriem runāts normā. Norma šī brīža redakcijā nav pietiekami skaidra, lai trauksmes cēlējs pilnvērtīgi apzinātos savas aizsardzības garantijas.</w:t>
            </w:r>
          </w:p>
        </w:tc>
        <w:tc>
          <w:tcPr>
            <w:tcW w:w="1650" w:type="dxa"/>
            <w:shd w:val="clear" w:color="auto" w:fill="FFFFFF" w:themeFill="background1"/>
            <w:noWrap/>
            <w:tcMar>
              <w:top w:w="75" w:type="dxa"/>
              <w:left w:w="75" w:type="dxa"/>
              <w:bottom w:w="75" w:type="dxa"/>
              <w:right w:w="75" w:type="dxa"/>
            </w:tcMar>
            <w:vAlign w:val="center"/>
          </w:tcPr>
          <w:p w14:paraId="6C5C7166" w14:textId="35AE2ABB" w:rsidR="007131C8" w:rsidRPr="00DA46BE" w:rsidRDefault="00895C51">
            <w:pPr>
              <w:jc w:val="left"/>
              <w:rPr>
                <w:color w:val="auto"/>
              </w:rPr>
            </w:pPr>
            <w:r w:rsidRPr="00DA46BE">
              <w:rPr>
                <w:color w:val="auto"/>
              </w:rPr>
              <w:t>Nav ņemts vērā</w:t>
            </w:r>
          </w:p>
        </w:tc>
        <w:tc>
          <w:tcPr>
            <w:tcW w:w="4056" w:type="dxa"/>
            <w:shd w:val="clear" w:color="auto" w:fill="FFFFFF" w:themeFill="background1"/>
            <w:noWrap/>
            <w:tcMar>
              <w:top w:w="75" w:type="dxa"/>
              <w:left w:w="75" w:type="dxa"/>
              <w:bottom w:w="75" w:type="dxa"/>
              <w:right w:w="75" w:type="dxa"/>
            </w:tcMar>
            <w:vAlign w:val="center"/>
          </w:tcPr>
          <w:p w14:paraId="6746D97D" w14:textId="1C297D82" w:rsidR="007131C8" w:rsidRPr="00DA46BE" w:rsidRDefault="00895C51">
            <w:pPr>
              <w:jc w:val="left"/>
              <w:rPr>
                <w:color w:val="auto"/>
              </w:rPr>
            </w:pPr>
            <w:r w:rsidRPr="00DA46BE">
              <w:rPr>
                <w:color w:val="auto"/>
              </w:rPr>
              <w:t xml:space="preserve">Ar minēto tiek pārņemts Eiropas Parlamenta un Padomes 2019. gada 23. oktobra Direktīvas (ES) 2019/1937 par to personu aizsardzību, kuras ziņo par Savienības tiesību aktu pārkāpumiem, 19. panta </w:t>
            </w:r>
            <w:r w:rsidR="00732905" w:rsidRPr="00DA46BE">
              <w:rPr>
                <w:color w:val="auto"/>
              </w:rPr>
              <w:t>"l" apakšpunkts, kas paredz</w:t>
            </w:r>
            <w:r w:rsidR="00BA0D9E" w:rsidRPr="00DA46BE">
              <w:rPr>
                <w:color w:val="auto"/>
              </w:rPr>
              <w:t xml:space="preserve">, ka </w:t>
            </w:r>
            <w:r w:rsidR="383B862C" w:rsidRPr="00DA46BE">
              <w:rPr>
                <w:color w:val="auto"/>
              </w:rPr>
              <w:t>d</w:t>
            </w:r>
            <w:r w:rsidR="00BA0D9E" w:rsidRPr="00DA46BE">
              <w:rPr>
                <w:color w:val="auto"/>
              </w:rPr>
              <w:t>alībvalstis veic pasākumus, kas nepieciešami, lai aizliegtu jebkādas represijas pret 4. pantā minētajām personām, tostarp represiju draudus un represiju mēģinājumus, tostarp jo īpaši šādā formā</w:t>
            </w:r>
            <w:r w:rsidR="00732905" w:rsidRPr="00DA46BE">
              <w:rPr>
                <w:color w:val="auto"/>
              </w:rPr>
              <w:t xml:space="preserve"> – </w:t>
            </w:r>
            <w:r w:rsidR="00732905" w:rsidRPr="00DA46BE">
              <w:rPr>
                <w:i/>
                <w:iCs/>
                <w:color w:val="auto"/>
              </w:rPr>
              <w:t>iekļaušana melnajā sarakstā, pamatojoties uz formālu vai neformālu nozares vai sektora līmeņa nolīgumu, kas var nozīmēt, ka persona turpmāk nevarēs atrast darbu attiecīgajā nozarē vai sektorā</w:t>
            </w:r>
            <w:r w:rsidR="00BA0D9E" w:rsidRPr="00DA46BE">
              <w:rPr>
                <w:color w:val="auto"/>
              </w:rPr>
              <w:t>.</w:t>
            </w:r>
          </w:p>
          <w:p w14:paraId="31774CE4" w14:textId="4A336EE4" w:rsidR="00BA0D9E" w:rsidRPr="00DA46BE" w:rsidRDefault="00BA0D9E" w:rsidP="3D8B3FCD">
            <w:pPr>
              <w:spacing w:line="259" w:lineRule="auto"/>
              <w:jc w:val="left"/>
              <w:rPr>
                <w:color w:val="auto"/>
              </w:rPr>
            </w:pPr>
            <w:r w:rsidRPr="00DA46BE">
              <w:rPr>
                <w:color w:val="auto"/>
              </w:rPr>
              <w:t xml:space="preserve">Ievērojot to, ka </w:t>
            </w:r>
            <w:r w:rsidR="00EE2576">
              <w:rPr>
                <w:color w:val="auto"/>
              </w:rPr>
              <w:t>likumos</w:t>
            </w:r>
            <w:r w:rsidR="49340D0E" w:rsidRPr="00DA46BE">
              <w:rPr>
                <w:color w:val="auto"/>
              </w:rPr>
              <w:t xml:space="preserve"> kā juridisks termins </w:t>
            </w:r>
            <w:r w:rsidR="00D66CAC" w:rsidRPr="00DA46BE">
              <w:rPr>
                <w:color w:val="auto"/>
              </w:rPr>
              <w:t>netiek lietots termins “melnais saraksts”, bet šāds termins tiek lietots neformāli,</w:t>
            </w:r>
            <w:r w:rsidR="00EE2576">
              <w:rPr>
                <w:color w:val="auto"/>
              </w:rPr>
              <w:t xml:space="preserve"> piemēram,</w:t>
            </w:r>
            <w:r w:rsidR="00D66CAC" w:rsidRPr="00DA46BE">
              <w:rPr>
                <w:color w:val="auto"/>
              </w:rPr>
              <w:t xml:space="preserve"> </w:t>
            </w:r>
            <w:r w:rsidR="007D6BFF" w:rsidRPr="00DA46BE">
              <w:rPr>
                <w:color w:val="auto"/>
              </w:rPr>
              <w:t xml:space="preserve">apzīmējot </w:t>
            </w:r>
            <w:r w:rsidR="003C783C" w:rsidRPr="00DA46BE">
              <w:rPr>
                <w:color w:val="auto"/>
              </w:rPr>
              <w:t xml:space="preserve">sarakstu, kurā iekļauj </w:t>
            </w:r>
            <w:r w:rsidR="002E7143" w:rsidRPr="00DA46BE">
              <w:rPr>
                <w:color w:val="auto"/>
              </w:rPr>
              <w:t>ārzemnieku</w:t>
            </w:r>
            <w:r w:rsidR="003C783C" w:rsidRPr="00DA46BE">
              <w:rPr>
                <w:color w:val="auto"/>
              </w:rPr>
              <w:t>s</w:t>
            </w:r>
            <w:r w:rsidR="002E7143" w:rsidRPr="00DA46BE">
              <w:rPr>
                <w:color w:val="auto"/>
              </w:rPr>
              <w:t>, kuriem ieceļošana Latvijas Republikā ir aizliegta, vai</w:t>
            </w:r>
            <w:r w:rsidR="003C783C" w:rsidRPr="00DA46BE">
              <w:rPr>
                <w:color w:val="auto"/>
              </w:rPr>
              <w:t xml:space="preserve"> sarakstu, kurā Patērētāju tiesību aizsardzības centrs iekļauj</w:t>
            </w:r>
            <w:r w:rsidR="002E7143" w:rsidRPr="00DA46BE">
              <w:rPr>
                <w:color w:val="auto"/>
              </w:rPr>
              <w:t xml:space="preserve"> </w:t>
            </w:r>
            <w:r w:rsidR="00294987" w:rsidRPr="00DA46BE">
              <w:rPr>
                <w:color w:val="auto"/>
              </w:rPr>
              <w:t>komersantus, kas nav izpildījuši Patērētāju strīdu risināšanas komisijas lēmumu</w:t>
            </w:r>
            <w:r w:rsidR="188351B4" w:rsidRPr="00DA46BE">
              <w:rPr>
                <w:color w:val="auto"/>
              </w:rPr>
              <w:t>, likumprojekts paredz</w:t>
            </w:r>
            <w:r w:rsidR="308FDA3A" w:rsidRPr="00DA46BE">
              <w:rPr>
                <w:color w:val="auto"/>
              </w:rPr>
              <w:t xml:space="preserve"> tādu vārdu izvēli, kas atbilstu normatīvajos aktos lietotajai terminoloģijai.</w:t>
            </w:r>
          </w:p>
        </w:tc>
      </w:tr>
      <w:tr w:rsidR="00DA46BE" w:rsidRPr="00DA46BE" w14:paraId="11D6AA2B" w14:textId="77777777" w:rsidTr="3D8B3FCD">
        <w:tc>
          <w:tcPr>
            <w:tcW w:w="750" w:type="dxa"/>
            <w:vMerge/>
            <w:noWrap/>
            <w:tcMar>
              <w:top w:w="75" w:type="dxa"/>
              <w:left w:w="75" w:type="dxa"/>
              <w:bottom w:w="75" w:type="dxa"/>
              <w:right w:w="75" w:type="dxa"/>
            </w:tcMar>
            <w:vAlign w:val="center"/>
          </w:tcPr>
          <w:p w14:paraId="47D7CE65" w14:textId="77777777" w:rsidR="007131C8" w:rsidRPr="00DA46BE" w:rsidRDefault="007131C8">
            <w:pPr>
              <w:jc w:val="center"/>
              <w:rPr>
                <w:color w:val="auto"/>
              </w:rPr>
            </w:pPr>
          </w:p>
        </w:tc>
        <w:tc>
          <w:tcPr>
            <w:tcW w:w="4055" w:type="dxa"/>
            <w:vMerge/>
            <w:noWrap/>
            <w:tcMar>
              <w:top w:w="75" w:type="dxa"/>
              <w:left w:w="75" w:type="dxa"/>
              <w:bottom w:w="75" w:type="dxa"/>
              <w:right w:w="75" w:type="dxa"/>
            </w:tcMar>
            <w:vAlign w:val="center"/>
          </w:tcPr>
          <w:p w14:paraId="3D15C6D8" w14:textId="77777777" w:rsidR="007131C8" w:rsidRPr="00DA46BE" w:rsidRDefault="007131C8">
            <w:pPr>
              <w:jc w:val="left"/>
              <w:rPr>
                <w:color w:val="auto"/>
              </w:rPr>
            </w:pPr>
          </w:p>
        </w:tc>
        <w:tc>
          <w:tcPr>
            <w:tcW w:w="4056" w:type="dxa"/>
            <w:shd w:val="clear" w:color="auto" w:fill="FFFFFF" w:themeFill="background1"/>
            <w:noWrap/>
            <w:tcMar>
              <w:top w:w="75" w:type="dxa"/>
              <w:left w:w="75" w:type="dxa"/>
              <w:bottom w:w="75" w:type="dxa"/>
              <w:right w:w="75" w:type="dxa"/>
            </w:tcMar>
            <w:vAlign w:val="center"/>
          </w:tcPr>
          <w:p w14:paraId="077A1142" w14:textId="1664F371" w:rsidR="007131C8" w:rsidRPr="00DA46BE" w:rsidRDefault="007131C8">
            <w:pPr>
              <w:jc w:val="left"/>
              <w:rPr>
                <w:b/>
                <w:color w:val="auto"/>
              </w:rPr>
            </w:pPr>
            <w:r w:rsidRPr="00DA46BE">
              <w:rPr>
                <w:b/>
                <w:color w:val="auto"/>
              </w:rPr>
              <w:t>4.priekšlikums</w:t>
            </w:r>
            <w:r w:rsidRPr="00DA46BE">
              <w:rPr>
                <w:color w:val="auto"/>
              </w:rPr>
              <w:br/>
              <w:t>Delna rekomendē Likumprojektā iekļaut atsevišķu pantu par atbildību par trauksmes cēlēja ziņojuma neizskatīšanu un par atgriezeniskās saites par ziņojuma izskatīšanu nenodrošināšanu Likumā noteiktajā termiņā (Likuma 7.pantā noteikto pienākumu neizpildīšana).</w:t>
            </w:r>
          </w:p>
        </w:tc>
        <w:tc>
          <w:tcPr>
            <w:tcW w:w="1650" w:type="dxa"/>
            <w:shd w:val="clear" w:color="auto" w:fill="FFFFFF" w:themeFill="background1"/>
            <w:noWrap/>
            <w:tcMar>
              <w:top w:w="75" w:type="dxa"/>
              <w:left w:w="75" w:type="dxa"/>
              <w:bottom w:w="75" w:type="dxa"/>
              <w:right w:w="75" w:type="dxa"/>
            </w:tcMar>
            <w:vAlign w:val="center"/>
          </w:tcPr>
          <w:p w14:paraId="70F4BAB5" w14:textId="1FE591E2" w:rsidR="007131C8" w:rsidRPr="00DA46BE" w:rsidRDefault="00FA58AF">
            <w:pPr>
              <w:jc w:val="left"/>
              <w:rPr>
                <w:color w:val="auto"/>
              </w:rPr>
            </w:pPr>
            <w:r w:rsidRPr="00DA46BE">
              <w:rPr>
                <w:color w:val="auto"/>
              </w:rPr>
              <w:t>Nav ņemts vērā</w:t>
            </w:r>
          </w:p>
        </w:tc>
        <w:tc>
          <w:tcPr>
            <w:tcW w:w="4056" w:type="dxa"/>
            <w:shd w:val="clear" w:color="auto" w:fill="FFFFFF" w:themeFill="background1"/>
            <w:noWrap/>
            <w:tcMar>
              <w:top w:w="75" w:type="dxa"/>
              <w:left w:w="75" w:type="dxa"/>
              <w:bottom w:w="75" w:type="dxa"/>
              <w:right w:w="75" w:type="dxa"/>
            </w:tcMar>
            <w:vAlign w:val="center"/>
          </w:tcPr>
          <w:p w14:paraId="6C37529E" w14:textId="7AC4C41E" w:rsidR="007131C8" w:rsidRPr="00DA46BE" w:rsidRDefault="003D0F07" w:rsidP="3D8B3FCD">
            <w:pPr>
              <w:spacing w:line="259" w:lineRule="auto"/>
              <w:jc w:val="left"/>
              <w:rPr>
                <w:color w:val="auto"/>
              </w:rPr>
            </w:pPr>
            <w:r w:rsidRPr="00DA46BE">
              <w:rPr>
                <w:color w:val="auto"/>
              </w:rPr>
              <w:t>Administratīvās atbildības nepieciešamība un pieļaujamība ir vērtējama, izmantojot doktrīnā attīstītos kritērijus (</w:t>
            </w:r>
            <w:r w:rsidRPr="00DA46BE">
              <w:rPr>
                <w:i/>
                <w:iCs/>
                <w:color w:val="auto"/>
              </w:rPr>
              <w:t>plašāk sk.: Māliņa I. Jaunu administratīvo pārkāpumu sastāvu veidošana. Grām.: Administratīvo pārkāpumu tiesības. Administratīvās atbildības likuma skaidrojumi. Sagatavojis autoru kolektīvs. E. Danovska un G. Kūtra zinātniskajā redakcijā. Rīga: Tiesu namu aģentūra, 2020, 54.-</w:t>
            </w:r>
            <w:r w:rsidR="7A809049" w:rsidRPr="00DA46BE">
              <w:rPr>
                <w:i/>
                <w:iCs/>
                <w:color w:val="auto"/>
              </w:rPr>
              <w:t>58</w:t>
            </w:r>
            <w:r w:rsidRPr="00DA46BE">
              <w:rPr>
                <w:i/>
                <w:iCs/>
                <w:color w:val="auto"/>
              </w:rPr>
              <w:t>. lpp.</w:t>
            </w:r>
            <w:r w:rsidRPr="00DA46BE">
              <w:rPr>
                <w:color w:val="auto"/>
              </w:rPr>
              <w:t xml:space="preserve">), tostarp </w:t>
            </w:r>
            <w:r w:rsidR="37E164B4" w:rsidRPr="00DA46BE">
              <w:rPr>
                <w:color w:val="auto"/>
              </w:rPr>
              <w:t>to, ka pirms noteikt jaunu administratīvās atbildības pamatu, jāņem vērā šādi kritēriji: 1) administratīvā akta prioritātes princips; 2) sabiedr</w:t>
            </w:r>
            <w:r w:rsidR="739CECB6" w:rsidRPr="00DA46BE">
              <w:rPr>
                <w:color w:val="auto"/>
              </w:rPr>
              <w:t xml:space="preserve">iskās kārtības mērķa sasniegšanas efektivitāte; 3) problēmsituācijas attiecināmība uz publiski </w:t>
            </w:r>
            <w:r w:rsidR="3B9E95DA" w:rsidRPr="00DA46BE">
              <w:rPr>
                <w:color w:val="auto"/>
              </w:rPr>
              <w:t xml:space="preserve">tiesiskajām attiecībām; 4) problēmsituācijas bīstamība un kaitīgums; 5) aizliegums paredzēt administratīvos </w:t>
            </w:r>
            <w:r w:rsidR="5D69F8DB" w:rsidRPr="00DA46BE">
              <w:rPr>
                <w:color w:val="auto"/>
              </w:rPr>
              <w:t>sodus par administratīvā akta labprātīgu neizpildīšanu.</w:t>
            </w:r>
          </w:p>
          <w:p w14:paraId="2F48BFFA" w14:textId="070A814A" w:rsidR="003D0F07" w:rsidRPr="00DA46BE" w:rsidRDefault="7F4731B5" w:rsidP="3D8B3FCD">
            <w:pPr>
              <w:jc w:val="left"/>
              <w:rPr>
                <w:color w:val="auto"/>
                <w:szCs w:val="28"/>
              </w:rPr>
            </w:pPr>
            <w:r w:rsidRPr="00DA46BE">
              <w:rPr>
                <w:color w:val="auto"/>
              </w:rPr>
              <w:t>Izvērtējot minēto, kopsakarā ar to, ka likumprojekts paredz noteikt, ka turpmāk trauksmes cēlēju kontaktpunkta</w:t>
            </w:r>
            <w:r w:rsidR="591CAC10" w:rsidRPr="00DA46BE">
              <w:rPr>
                <w:color w:val="auto"/>
              </w:rPr>
              <w:t xml:space="preserve"> pienākumos būs </w:t>
            </w:r>
            <w:r w:rsidR="591CAC10" w:rsidRPr="00DA46BE">
              <w:rPr>
                <w:color w:val="auto"/>
                <w:szCs w:val="28"/>
              </w:rPr>
              <w:t>pārbaudīt un uzraudzīt, vai tiek ievērots šā likuma regulējums, kā arī sniegt ieteikumus trauksmes celšanas jomā</w:t>
            </w:r>
            <w:r w:rsidR="007C3522">
              <w:rPr>
                <w:color w:val="auto"/>
                <w:szCs w:val="28"/>
              </w:rPr>
              <w:t xml:space="preserve">, </w:t>
            </w:r>
            <w:r w:rsidR="007C3522">
              <w:rPr>
                <w:color w:val="auto"/>
                <w:szCs w:val="28"/>
              </w:rPr>
              <w:t xml:space="preserve">kamēr </w:t>
            </w:r>
            <w:r w:rsidR="00650DB1">
              <w:rPr>
                <w:color w:val="auto"/>
                <w:szCs w:val="28"/>
              </w:rPr>
              <w:t>šobrīd ir</w:t>
            </w:r>
            <w:r w:rsidR="007C3522">
              <w:rPr>
                <w:color w:val="auto"/>
                <w:szCs w:val="28"/>
              </w:rPr>
              <w:t xml:space="preserve"> tikai atbalsts un konsultācijas </w:t>
            </w:r>
            <w:r w:rsidR="007C3522" w:rsidRPr="00AD125B">
              <w:rPr>
                <w:color w:val="auto"/>
                <w:szCs w:val="28"/>
              </w:rPr>
              <w:t>personām, kuras vēlas celt trauksmi, trauksmes cēlējiem, viņu radiniekiem vai saistītajām personām</w:t>
            </w:r>
            <w:r w:rsidR="41ACA010" w:rsidRPr="00DA46BE">
              <w:rPr>
                <w:color w:val="auto"/>
                <w:szCs w:val="28"/>
              </w:rPr>
              <w:t>, nav saskatāma nepieciešamība noteikt  administratīvo atbildību par minētajiem pārkāpumiem.</w:t>
            </w:r>
          </w:p>
          <w:p w14:paraId="4753E16B" w14:textId="621E3D7D" w:rsidR="003D0F07" w:rsidRPr="00DA46BE" w:rsidRDefault="003D0F07" w:rsidP="3D8B3FCD">
            <w:pPr>
              <w:jc w:val="left"/>
              <w:rPr>
                <w:color w:val="auto"/>
                <w:szCs w:val="28"/>
              </w:rPr>
            </w:pPr>
          </w:p>
          <w:p w14:paraId="77ABB89F" w14:textId="16DF4AF4" w:rsidR="003D0F07" w:rsidRPr="00DA46BE" w:rsidRDefault="64D46ABC" w:rsidP="3D8B3FCD">
            <w:pPr>
              <w:spacing w:line="259" w:lineRule="auto"/>
              <w:jc w:val="left"/>
              <w:rPr>
                <w:color w:val="auto"/>
              </w:rPr>
            </w:pPr>
            <w:r w:rsidRPr="00DA46BE">
              <w:rPr>
                <w:color w:val="auto"/>
              </w:rPr>
              <w:t>Papildus norādāms, ka jau līdz šim Valsts kancelejas trauksmes cēlēju kontaktpunkts, saņemot informāciju par atbilžu nesniegšanu vai savlaicīgu nesniegšanu, ir informējis iestādes</w:t>
            </w:r>
            <w:r w:rsidR="007E45F7">
              <w:rPr>
                <w:color w:val="auto"/>
              </w:rPr>
              <w:t xml:space="preserve"> un komersantus</w:t>
            </w:r>
            <w:r w:rsidRPr="00DA46BE">
              <w:rPr>
                <w:color w:val="auto"/>
              </w:rPr>
              <w:t xml:space="preserve"> </w:t>
            </w:r>
            <w:r w:rsidR="49BEA7A8" w:rsidRPr="00DA46BE">
              <w:rPr>
                <w:color w:val="auto"/>
              </w:rPr>
              <w:t>par Trauksmes celšanas likuma regulējumu un nozīmību, tostarp</w:t>
            </w:r>
            <w:r w:rsidR="68D5F5BC" w:rsidRPr="00DA46BE">
              <w:rPr>
                <w:color w:val="auto"/>
              </w:rPr>
              <w:t xml:space="preserve"> vēršot</w:t>
            </w:r>
            <w:r w:rsidR="49BEA7A8" w:rsidRPr="00DA46BE">
              <w:rPr>
                <w:color w:val="auto"/>
              </w:rPr>
              <w:t xml:space="preserve"> </w:t>
            </w:r>
            <w:r w:rsidR="3186A4E0" w:rsidRPr="00DA46BE">
              <w:rPr>
                <w:color w:val="auto"/>
              </w:rPr>
              <w:t>uzmanību uz to, ka ir ārkārtīgi būtiski nodrošināt savlaicīgu atgriezenisko saikni ar personu, lai panāktu uzticēšanos visas trauksmes cēlēju aizsardzības sistēmas efektivitātei un samazinātu iespējamību, ka tiks iesniegti atkārtoti iesniegumi</w:t>
            </w:r>
            <w:r w:rsidR="00464BB7">
              <w:rPr>
                <w:color w:val="auto"/>
              </w:rPr>
              <w:t xml:space="preserve"> </w:t>
            </w:r>
            <w:r w:rsidR="00464BB7">
              <w:rPr>
                <w:color w:val="auto"/>
              </w:rPr>
              <w:t>vai informācija tiek publiskota</w:t>
            </w:r>
            <w:r w:rsidR="0AF7B0B6" w:rsidRPr="00DA46BE">
              <w:rPr>
                <w:color w:val="auto"/>
              </w:rPr>
              <w:t>.</w:t>
            </w:r>
          </w:p>
        </w:tc>
      </w:tr>
      <w:tr w:rsidR="00DA46BE" w:rsidRPr="00DA46BE" w14:paraId="209DFFEC" w14:textId="77777777" w:rsidTr="3D8B3FCD">
        <w:tc>
          <w:tcPr>
            <w:tcW w:w="750" w:type="dxa"/>
            <w:vMerge/>
            <w:noWrap/>
            <w:tcMar>
              <w:top w:w="75" w:type="dxa"/>
              <w:left w:w="75" w:type="dxa"/>
              <w:bottom w:w="75" w:type="dxa"/>
              <w:right w:w="75" w:type="dxa"/>
            </w:tcMar>
            <w:vAlign w:val="center"/>
          </w:tcPr>
          <w:p w14:paraId="6ADBEEC3" w14:textId="77777777" w:rsidR="007131C8" w:rsidRPr="00DA46BE" w:rsidRDefault="007131C8">
            <w:pPr>
              <w:jc w:val="center"/>
              <w:rPr>
                <w:color w:val="auto"/>
              </w:rPr>
            </w:pPr>
          </w:p>
        </w:tc>
        <w:tc>
          <w:tcPr>
            <w:tcW w:w="4055" w:type="dxa"/>
            <w:vMerge/>
            <w:noWrap/>
            <w:tcMar>
              <w:top w:w="75" w:type="dxa"/>
              <w:left w:w="75" w:type="dxa"/>
              <w:bottom w:w="75" w:type="dxa"/>
              <w:right w:w="75" w:type="dxa"/>
            </w:tcMar>
            <w:vAlign w:val="center"/>
          </w:tcPr>
          <w:p w14:paraId="126397BE" w14:textId="77777777" w:rsidR="007131C8" w:rsidRPr="00DA46BE" w:rsidRDefault="007131C8">
            <w:pPr>
              <w:jc w:val="left"/>
              <w:rPr>
                <w:color w:val="auto"/>
              </w:rPr>
            </w:pPr>
          </w:p>
        </w:tc>
        <w:tc>
          <w:tcPr>
            <w:tcW w:w="4056" w:type="dxa"/>
            <w:shd w:val="clear" w:color="auto" w:fill="FFFFFF" w:themeFill="background1"/>
            <w:noWrap/>
            <w:tcMar>
              <w:top w:w="75" w:type="dxa"/>
              <w:left w:w="75" w:type="dxa"/>
              <w:bottom w:w="75" w:type="dxa"/>
              <w:right w:w="75" w:type="dxa"/>
            </w:tcMar>
            <w:vAlign w:val="center"/>
          </w:tcPr>
          <w:p w14:paraId="11C112E4" w14:textId="32D46670" w:rsidR="007131C8" w:rsidRPr="00DA46BE" w:rsidRDefault="007131C8">
            <w:pPr>
              <w:jc w:val="left"/>
              <w:rPr>
                <w:b/>
                <w:color w:val="auto"/>
              </w:rPr>
            </w:pPr>
            <w:r w:rsidRPr="00DA46BE">
              <w:rPr>
                <w:b/>
                <w:color w:val="auto"/>
              </w:rPr>
              <w:t>5.priekšlikums</w:t>
            </w:r>
            <w:r w:rsidRPr="00DA46BE">
              <w:rPr>
                <w:color w:val="auto"/>
              </w:rPr>
              <w:br/>
              <w:t>Delna rekomendē Likumprojektā iekļaut atsevišķu pantu par atbildību par trauksmes celšanas sistēmas neizveidi.</w:t>
            </w:r>
            <w:r w:rsidRPr="00DA46BE">
              <w:rPr>
                <w:color w:val="auto"/>
              </w:rPr>
              <w:br/>
              <w:t>Līdzšinējā Delnas pieredze rāda, ka privātajā sektorā trauksmes celšanas sistēmu ieviešana nav pašsaprotama un nav tik izplatīta, cik publiskajā sektorā. Turklāt, šobrīd par iekšējās trauksmes celšanas sistēmas neieviešanu Likums neparedz nekādu atbildību. Atbildība kalpo ne tikai kā sodošs mehānisms, bet arī preventīvs mehānisms. Līdz ar to ir paredzams, ka sankcijas esamība par trauksmes celšanas sistēmas neizveidi motivēs juridiskas personas ieviest iekšējās trauksmes celšanas sistēmas.</w:t>
            </w:r>
          </w:p>
        </w:tc>
        <w:tc>
          <w:tcPr>
            <w:tcW w:w="1650" w:type="dxa"/>
            <w:shd w:val="clear" w:color="auto" w:fill="FFFFFF" w:themeFill="background1"/>
            <w:noWrap/>
            <w:tcMar>
              <w:top w:w="75" w:type="dxa"/>
              <w:left w:w="75" w:type="dxa"/>
              <w:bottom w:w="75" w:type="dxa"/>
              <w:right w:w="75" w:type="dxa"/>
            </w:tcMar>
            <w:vAlign w:val="center"/>
          </w:tcPr>
          <w:p w14:paraId="36FE7784" w14:textId="5D30EBAE" w:rsidR="007131C8" w:rsidRPr="00DA46BE" w:rsidRDefault="4679FDC2">
            <w:pPr>
              <w:jc w:val="left"/>
              <w:rPr>
                <w:color w:val="auto"/>
              </w:rPr>
            </w:pPr>
            <w:r w:rsidRPr="00DA46BE">
              <w:rPr>
                <w:color w:val="auto"/>
              </w:rPr>
              <w:t>Nav ņemt</w:t>
            </w:r>
            <w:r w:rsidR="00695A58">
              <w:rPr>
                <w:color w:val="auto"/>
              </w:rPr>
              <w:t>s</w:t>
            </w:r>
            <w:r w:rsidRPr="00DA46BE">
              <w:rPr>
                <w:color w:val="auto"/>
              </w:rPr>
              <w:t xml:space="preserve"> vērā</w:t>
            </w:r>
          </w:p>
        </w:tc>
        <w:tc>
          <w:tcPr>
            <w:tcW w:w="4056" w:type="dxa"/>
            <w:shd w:val="clear" w:color="auto" w:fill="FFFFFF" w:themeFill="background1"/>
            <w:noWrap/>
            <w:tcMar>
              <w:top w:w="75" w:type="dxa"/>
              <w:left w:w="75" w:type="dxa"/>
              <w:bottom w:w="75" w:type="dxa"/>
              <w:right w:w="75" w:type="dxa"/>
            </w:tcMar>
            <w:vAlign w:val="center"/>
          </w:tcPr>
          <w:p w14:paraId="7BCBBFD6" w14:textId="7AC4C41E" w:rsidR="007131C8" w:rsidRPr="00DA46BE" w:rsidRDefault="4679FDC2" w:rsidP="3D8B3FCD">
            <w:pPr>
              <w:spacing w:line="259" w:lineRule="auto"/>
              <w:jc w:val="left"/>
              <w:rPr>
                <w:color w:val="auto"/>
              </w:rPr>
            </w:pPr>
            <w:r w:rsidRPr="00DA46BE">
              <w:rPr>
                <w:color w:val="auto"/>
              </w:rPr>
              <w:t>Administratīvās atbildības nepieciešamība un pieļaujamība ir vērtējama, izmantojot doktrīnā attīstītos kritērijus (</w:t>
            </w:r>
            <w:r w:rsidRPr="00DA46BE">
              <w:rPr>
                <w:i/>
                <w:iCs/>
                <w:color w:val="auto"/>
              </w:rPr>
              <w:t>plašāk sk.: Māliņa I. Jaunu administratīvo pārkāpumu sastāvu veidošana. Grām.: Administratīvo pārkāpumu tiesības. Administratīvās atbildības likuma skaidrojumi. Sagatavojis autoru kolektīvs. E. Danovska un G. Kūtra zinātniskajā redakcijā. Rīga: Tiesu namu aģentūra, 2020, 54.-58. lpp.</w:t>
            </w:r>
            <w:r w:rsidRPr="00DA46BE">
              <w:rPr>
                <w:color w:val="auto"/>
              </w:rPr>
              <w:t>), tostarp to, ka pirms noteikt jaunu administratīvās atbildības pamatu, jāņem vērā šādi kritēriji: 1) administratīvā akta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w:t>
            </w:r>
          </w:p>
          <w:p w14:paraId="327953D2" w14:textId="7F08BC56" w:rsidR="007131C8" w:rsidRPr="00DA46BE" w:rsidRDefault="4679FDC2" w:rsidP="3D8B3FCD">
            <w:pPr>
              <w:jc w:val="left"/>
              <w:rPr>
                <w:color w:val="auto"/>
                <w:szCs w:val="28"/>
              </w:rPr>
            </w:pPr>
            <w:r w:rsidRPr="00DA46BE">
              <w:rPr>
                <w:color w:val="auto"/>
              </w:rPr>
              <w:t xml:space="preserve">Izvērtējot minēto, kopsakarā ar to, ka likumprojekts paredz noteikt, ka turpmāk trauksmes cēlēju kontaktpunkta pienākumos būs </w:t>
            </w:r>
            <w:r w:rsidRPr="00DA46BE">
              <w:rPr>
                <w:color w:val="auto"/>
                <w:szCs w:val="28"/>
              </w:rPr>
              <w:t>pārbaudīt un uzraudzīt, vai tiek ievērots šā likuma regulējums, kā arī sniegt ieteikumus trauksmes celšanas jomā, nav saskatāma nepieciešamība noteikt  administratīvo atbildību par minētajiem pārkāpumiem.</w:t>
            </w:r>
          </w:p>
          <w:p w14:paraId="49B7EE0B" w14:textId="5D2C94FD" w:rsidR="007131C8" w:rsidRPr="00DA46BE" w:rsidRDefault="007131C8">
            <w:pPr>
              <w:jc w:val="left"/>
              <w:rPr>
                <w:color w:val="auto"/>
              </w:rPr>
            </w:pPr>
          </w:p>
          <w:p w14:paraId="16CA2120" w14:textId="77777777" w:rsidR="007131C8" w:rsidRDefault="4679FDC2" w:rsidP="3D8B3FCD">
            <w:pPr>
              <w:jc w:val="left"/>
              <w:rPr>
                <w:color w:val="auto"/>
              </w:rPr>
            </w:pPr>
            <w:r w:rsidRPr="00DA46BE">
              <w:rPr>
                <w:color w:val="auto"/>
              </w:rPr>
              <w:t>Papildus norādāms, ka jau līdz šim Valsts kancelejas trauksmes cēlēju kontaktpunkts saņemot informāciju par iekšējās trauksmes celšanas sistēmas neesamību ir informējis komer</w:t>
            </w:r>
            <w:r w:rsidR="4CEB892B" w:rsidRPr="00DA46BE">
              <w:rPr>
                <w:color w:val="auto"/>
              </w:rPr>
              <w:t>sa</w:t>
            </w:r>
            <w:r w:rsidRPr="00DA46BE">
              <w:rPr>
                <w:color w:val="auto"/>
              </w:rPr>
              <w:t>ntu par ne</w:t>
            </w:r>
            <w:r w:rsidR="58DC6B8E" w:rsidRPr="00DA46BE">
              <w:rPr>
                <w:color w:val="auto"/>
              </w:rPr>
              <w:t xml:space="preserve">pieciešamību to izveidot, tostarp vēršot uzmanību </w:t>
            </w:r>
            <w:r w:rsidR="7C427545" w:rsidRPr="00DA46BE">
              <w:rPr>
                <w:color w:val="auto"/>
              </w:rPr>
              <w:t>uz trauksmes celšanas nozīmību.</w:t>
            </w:r>
          </w:p>
          <w:p w14:paraId="468D8C2B" w14:textId="77777777" w:rsidR="00E43930" w:rsidRDefault="00E43930" w:rsidP="3D8B3FCD">
            <w:pPr>
              <w:jc w:val="left"/>
              <w:rPr>
                <w:color w:val="auto"/>
              </w:rPr>
            </w:pPr>
          </w:p>
          <w:p w14:paraId="74978239" w14:textId="77777777" w:rsidR="00E43930" w:rsidRDefault="00E43930" w:rsidP="3D8B3FCD">
            <w:pPr>
              <w:jc w:val="left"/>
              <w:rPr>
                <w:color w:val="auto"/>
              </w:rPr>
            </w:pPr>
            <w:r>
              <w:rPr>
                <w:color w:val="auto"/>
              </w:rPr>
              <w:t xml:space="preserve">Turklāt </w:t>
            </w:r>
            <w:r w:rsidRPr="00DA46BE">
              <w:rPr>
                <w:color w:val="auto"/>
              </w:rPr>
              <w:t>Valsts kancelejas trauksmes cēlēju kontaktpunkt</w:t>
            </w:r>
            <w:r>
              <w:rPr>
                <w:color w:val="auto"/>
              </w:rPr>
              <w:t>a vieni no pienākumiem jau šobrīd ir</w:t>
            </w:r>
            <w:r>
              <w:rPr>
                <w:color w:val="auto"/>
              </w:rPr>
              <w:t>:</w:t>
            </w:r>
          </w:p>
          <w:p w14:paraId="47822A4E" w14:textId="77777777" w:rsidR="00E43930" w:rsidRDefault="00E43930" w:rsidP="3D8B3FCD">
            <w:pPr>
              <w:jc w:val="left"/>
              <w:rPr>
                <w:color w:val="auto"/>
              </w:rPr>
            </w:pPr>
            <w:r>
              <w:rPr>
                <w:color w:val="auto"/>
              </w:rPr>
              <w:t xml:space="preserve">1) </w:t>
            </w:r>
            <w:r w:rsidRPr="00624FF6">
              <w:rPr>
                <w:color w:val="auto"/>
              </w:rPr>
              <w:t>sniegt metodisku atbalstu trauksmes celšanas jomā</w:t>
            </w:r>
            <w:r>
              <w:rPr>
                <w:color w:val="auto"/>
              </w:rPr>
              <w:t xml:space="preserve">, tostarp izstrādāt </w:t>
            </w:r>
            <w:r w:rsidRPr="00956955">
              <w:rPr>
                <w:color w:val="auto"/>
              </w:rPr>
              <w:t>labās prakses vadlīnijas iekšējās trauksmes celšanas sistēmas izveide</w:t>
            </w:r>
            <w:r>
              <w:rPr>
                <w:color w:val="auto"/>
              </w:rPr>
              <w:t xml:space="preserve">i; </w:t>
            </w:r>
          </w:p>
          <w:p w14:paraId="45DB245F" w14:textId="77777777" w:rsidR="00E43930" w:rsidRDefault="00E43930" w:rsidP="3D8B3FCD">
            <w:pPr>
              <w:jc w:val="left"/>
              <w:rPr>
                <w:color w:val="auto"/>
              </w:rPr>
            </w:pPr>
            <w:r>
              <w:rPr>
                <w:color w:val="auto"/>
              </w:rPr>
              <w:t xml:space="preserve">2) </w:t>
            </w:r>
            <w:r w:rsidRPr="000351E4">
              <w:rPr>
                <w:color w:val="auto"/>
              </w:rPr>
              <w:t>katru gadu apkopot informāciju par trauksmes celšanu</w:t>
            </w:r>
            <w:r>
              <w:rPr>
                <w:color w:val="auto"/>
              </w:rPr>
              <w:t xml:space="preserve"> (</w:t>
            </w:r>
            <w:r w:rsidRPr="00E43930">
              <w:rPr>
                <w:i/>
                <w:iCs/>
                <w:color w:val="auto"/>
              </w:rPr>
              <w:t>sadaļa IEKŠĒJO TRAUKSMES CELŠANAS SISTĒMU DARBĪBA 2019. 2020.  un 2021.</w:t>
            </w:r>
            <w:r>
              <w:rPr>
                <w:i/>
                <w:iCs/>
                <w:color w:val="auto"/>
              </w:rPr>
              <w:t> </w:t>
            </w:r>
            <w:r w:rsidRPr="00E43930">
              <w:rPr>
                <w:i/>
                <w:iCs/>
                <w:color w:val="auto"/>
              </w:rPr>
              <w:t>gadu pārskatos, tostarp Labās prakses piemēri</w:t>
            </w:r>
            <w:r>
              <w:rPr>
                <w:color w:val="auto"/>
              </w:rPr>
              <w:t xml:space="preserve">); </w:t>
            </w:r>
          </w:p>
          <w:p w14:paraId="5B3BCFC1" w14:textId="646201A9" w:rsidR="00E43930" w:rsidRPr="00DA46BE" w:rsidRDefault="00E43930" w:rsidP="3D8B3FCD">
            <w:pPr>
              <w:jc w:val="left"/>
              <w:rPr>
                <w:color w:val="auto"/>
              </w:rPr>
            </w:pPr>
            <w:r>
              <w:rPr>
                <w:color w:val="auto"/>
              </w:rPr>
              <w:t>3) izpratnes veicināšana par trauksmes celšanu (2021. gada kampaņa “Darbinieks nav nieks”)</w:t>
            </w:r>
            <w:r w:rsidR="001875A1" w:rsidRPr="001875A1">
              <w:rPr>
                <w:rStyle w:val="FootnoteReference"/>
                <w:vertAlign w:val="baseline"/>
              </w:rPr>
              <w:t>.</w:t>
            </w:r>
            <w:r>
              <w:rPr>
                <w:rStyle w:val="FootnoteReference"/>
                <w:color w:val="auto"/>
              </w:rPr>
              <w:footnoteReference w:id="1"/>
            </w:r>
          </w:p>
        </w:tc>
      </w:tr>
      <w:tr w:rsidR="00DA46BE" w:rsidRPr="00DA46BE" w14:paraId="10DE43D6" w14:textId="77777777" w:rsidTr="3D8B3FCD">
        <w:tc>
          <w:tcPr>
            <w:tcW w:w="750" w:type="dxa"/>
            <w:vMerge/>
            <w:noWrap/>
            <w:tcMar>
              <w:top w:w="75" w:type="dxa"/>
              <w:left w:w="75" w:type="dxa"/>
              <w:bottom w:w="75" w:type="dxa"/>
              <w:right w:w="75" w:type="dxa"/>
            </w:tcMar>
            <w:vAlign w:val="center"/>
          </w:tcPr>
          <w:p w14:paraId="64FF26C4" w14:textId="77777777" w:rsidR="007131C8" w:rsidRPr="00DA46BE" w:rsidRDefault="007131C8">
            <w:pPr>
              <w:jc w:val="center"/>
              <w:rPr>
                <w:color w:val="auto"/>
              </w:rPr>
            </w:pPr>
          </w:p>
        </w:tc>
        <w:tc>
          <w:tcPr>
            <w:tcW w:w="4055" w:type="dxa"/>
            <w:vMerge/>
            <w:noWrap/>
            <w:tcMar>
              <w:top w:w="75" w:type="dxa"/>
              <w:left w:w="75" w:type="dxa"/>
              <w:bottom w:w="75" w:type="dxa"/>
              <w:right w:w="75" w:type="dxa"/>
            </w:tcMar>
            <w:vAlign w:val="center"/>
          </w:tcPr>
          <w:p w14:paraId="2B7F1AFA" w14:textId="77777777" w:rsidR="007131C8" w:rsidRPr="00DA46BE" w:rsidRDefault="007131C8">
            <w:pPr>
              <w:jc w:val="left"/>
              <w:rPr>
                <w:color w:val="auto"/>
              </w:rPr>
            </w:pPr>
          </w:p>
        </w:tc>
        <w:tc>
          <w:tcPr>
            <w:tcW w:w="4056" w:type="dxa"/>
            <w:shd w:val="clear" w:color="auto" w:fill="FFFFFF" w:themeFill="background1"/>
            <w:noWrap/>
            <w:tcMar>
              <w:top w:w="75" w:type="dxa"/>
              <w:left w:w="75" w:type="dxa"/>
              <w:bottom w:w="75" w:type="dxa"/>
              <w:right w:w="75" w:type="dxa"/>
            </w:tcMar>
            <w:vAlign w:val="center"/>
          </w:tcPr>
          <w:p w14:paraId="463AA044" w14:textId="661A8354" w:rsidR="007131C8" w:rsidRPr="00DA46BE" w:rsidRDefault="007131C8">
            <w:pPr>
              <w:jc w:val="left"/>
              <w:rPr>
                <w:b/>
                <w:color w:val="auto"/>
              </w:rPr>
            </w:pPr>
            <w:r w:rsidRPr="00DA46BE">
              <w:rPr>
                <w:b/>
                <w:color w:val="auto"/>
              </w:rPr>
              <w:t>6.priekšlikums</w:t>
            </w:r>
            <w:r w:rsidRPr="00DA46BE">
              <w:rPr>
                <w:color w:val="auto"/>
              </w:rPr>
              <w:br/>
              <w:t>Delna rekomendē papildināt Likuma 1.panta pirmās daļas 6.punktu ar vārdiem “vai juridiskā”, tādējādi izsakot normu šādā redakcijā:</w:t>
            </w:r>
            <w:r w:rsidRPr="00DA46BE">
              <w:rPr>
                <w:color w:val="auto"/>
              </w:rPr>
              <w:br/>
              <w:t>“6) saistītā persona — fiziskā vai juridiskā persona, kura atbalsta vai palīdz trauksmes cēlējam trauksmes celšanā vai ir saistīta ar trauksmes cēlēju un varētu ciest no nelabvēlīgām sekām. Saistītā persona var būt arī komersants vai privāto tiesību juridiskā persona, kura pieder trauksmes cēlējam, kurā tas ir nodarbināts vai ar kuru tas citādi saistīts, veicot darba pienākumus.”</w:t>
            </w:r>
            <w:r w:rsidRPr="00DA46BE">
              <w:rPr>
                <w:color w:val="auto"/>
              </w:rPr>
              <w:br/>
              <w:t>No Trauksmes celšanas regulējuma izriet, ka saistītās personas nevar būt juridiskas personas, tostarp pilsoniskās sabiedrības organizācijas, kas sniedz jebkāda veida atbalstu trauksmes cēlējam. Juridiskās personas, piemēram, nevalstiskās organizācijas kā Delna, bieži sniedz būtisku atbalstu trauksmes cēlējiem, palīdzot sagatavot un iesniegt trauksmes cēlēju ziņojumus, nodrošinot juridiskas konsultācijas un pārstāvību. Taču arī šīs organizācijas var saskarties ar nelabvēlīgu seku risku. Tādēļ likumdevējam būtu jāpārskata un jāpaplašina saistītās personas jēdziena tvērums, tajā ietverot arī juridiskās personas, kuras atbalsta trauksmes cēlēju.</w:t>
            </w:r>
          </w:p>
        </w:tc>
        <w:tc>
          <w:tcPr>
            <w:tcW w:w="1650" w:type="dxa"/>
            <w:shd w:val="clear" w:color="auto" w:fill="FFFFFF" w:themeFill="background1"/>
            <w:noWrap/>
            <w:tcMar>
              <w:top w:w="75" w:type="dxa"/>
              <w:left w:w="75" w:type="dxa"/>
              <w:bottom w:w="75" w:type="dxa"/>
              <w:right w:w="75" w:type="dxa"/>
            </w:tcMar>
            <w:vAlign w:val="center"/>
          </w:tcPr>
          <w:p w14:paraId="52233A6D" w14:textId="55F95CEF" w:rsidR="007131C8" w:rsidRPr="00DA46BE" w:rsidRDefault="0EB6CBD2">
            <w:pPr>
              <w:jc w:val="left"/>
              <w:rPr>
                <w:color w:val="auto"/>
              </w:rPr>
            </w:pPr>
            <w:r w:rsidRPr="00DA46BE">
              <w:rPr>
                <w:color w:val="auto"/>
              </w:rPr>
              <w:t>Ņemts vērā</w:t>
            </w:r>
          </w:p>
        </w:tc>
        <w:tc>
          <w:tcPr>
            <w:tcW w:w="4056" w:type="dxa"/>
            <w:shd w:val="clear" w:color="auto" w:fill="FFFFFF" w:themeFill="background1"/>
            <w:noWrap/>
            <w:tcMar>
              <w:top w:w="75" w:type="dxa"/>
              <w:left w:w="75" w:type="dxa"/>
              <w:bottom w:w="75" w:type="dxa"/>
              <w:right w:w="75" w:type="dxa"/>
            </w:tcMar>
            <w:vAlign w:val="center"/>
          </w:tcPr>
          <w:p w14:paraId="2C854CC1" w14:textId="1D378FFD" w:rsidR="007131C8" w:rsidRPr="00DA46BE" w:rsidRDefault="0EB6CBD2" w:rsidP="3D8B3FCD">
            <w:pPr>
              <w:spacing w:line="259" w:lineRule="auto"/>
              <w:jc w:val="left"/>
              <w:rPr>
                <w:color w:val="auto"/>
              </w:rPr>
            </w:pPr>
            <w:r w:rsidRPr="00DA46BE">
              <w:rPr>
                <w:color w:val="auto"/>
              </w:rPr>
              <w:t>Precizēts likumprojekts</w:t>
            </w:r>
            <w:r w:rsidR="2993D5B2" w:rsidRPr="00DA46BE">
              <w:rPr>
                <w:color w:val="auto"/>
              </w:rPr>
              <w:t xml:space="preserve"> – Trauksmes celšanas likuma 1. panta pirmās daļas 6. punkts</w:t>
            </w:r>
            <w:r w:rsidRPr="00DA46BE">
              <w:rPr>
                <w:color w:val="auto"/>
              </w:rPr>
              <w:t>.</w:t>
            </w:r>
          </w:p>
        </w:tc>
      </w:tr>
      <w:tr w:rsidR="00DA46BE" w:rsidRPr="00DA46BE" w14:paraId="7486DAE8" w14:textId="77777777" w:rsidTr="3D8B3FCD">
        <w:tc>
          <w:tcPr>
            <w:tcW w:w="750" w:type="dxa"/>
            <w:vMerge/>
            <w:noWrap/>
            <w:tcMar>
              <w:top w:w="75" w:type="dxa"/>
              <w:left w:w="75" w:type="dxa"/>
              <w:bottom w:w="75" w:type="dxa"/>
              <w:right w:w="75" w:type="dxa"/>
            </w:tcMar>
            <w:vAlign w:val="center"/>
          </w:tcPr>
          <w:p w14:paraId="2BBE1652" w14:textId="77777777" w:rsidR="007131C8" w:rsidRPr="00DA46BE" w:rsidRDefault="007131C8">
            <w:pPr>
              <w:jc w:val="center"/>
              <w:rPr>
                <w:color w:val="auto"/>
              </w:rPr>
            </w:pPr>
          </w:p>
        </w:tc>
        <w:tc>
          <w:tcPr>
            <w:tcW w:w="4055" w:type="dxa"/>
            <w:vMerge/>
            <w:noWrap/>
            <w:tcMar>
              <w:top w:w="75" w:type="dxa"/>
              <w:left w:w="75" w:type="dxa"/>
              <w:bottom w:w="75" w:type="dxa"/>
              <w:right w:w="75" w:type="dxa"/>
            </w:tcMar>
            <w:vAlign w:val="center"/>
          </w:tcPr>
          <w:p w14:paraId="366B180A" w14:textId="77777777" w:rsidR="007131C8" w:rsidRPr="00DA46BE" w:rsidRDefault="007131C8">
            <w:pPr>
              <w:jc w:val="left"/>
              <w:rPr>
                <w:color w:val="auto"/>
              </w:rPr>
            </w:pPr>
          </w:p>
        </w:tc>
        <w:tc>
          <w:tcPr>
            <w:tcW w:w="4056" w:type="dxa"/>
            <w:shd w:val="clear" w:color="auto" w:fill="FFFFFF" w:themeFill="background1"/>
            <w:noWrap/>
            <w:tcMar>
              <w:top w:w="75" w:type="dxa"/>
              <w:left w:w="75" w:type="dxa"/>
              <w:bottom w:w="75" w:type="dxa"/>
              <w:right w:w="75" w:type="dxa"/>
            </w:tcMar>
            <w:vAlign w:val="center"/>
          </w:tcPr>
          <w:p w14:paraId="4585FFB7" w14:textId="2E2D7C96" w:rsidR="007131C8" w:rsidRPr="00DA46BE" w:rsidRDefault="007131C8">
            <w:pPr>
              <w:jc w:val="left"/>
              <w:rPr>
                <w:b/>
                <w:color w:val="auto"/>
              </w:rPr>
            </w:pPr>
            <w:r w:rsidRPr="00DA46BE">
              <w:rPr>
                <w:b/>
                <w:color w:val="auto"/>
              </w:rPr>
              <w:t>7.priekšlikums</w:t>
            </w:r>
            <w:r w:rsidRPr="00DA46BE">
              <w:rPr>
                <w:color w:val="auto"/>
              </w:rPr>
              <w:br/>
              <w:t>Delna rekomendē papildināt Likuma 11.panta otro daļu ar teikumu “Par šādas informācijas nelikumīgu izpaušanu personu var saukt pie kriminālatbildības.”</w:t>
            </w:r>
            <w:r w:rsidRPr="00DA46BE">
              <w:rPr>
                <w:color w:val="auto"/>
              </w:rPr>
              <w:br/>
              <w:t>Trauksmes celšanas likuma tekstā nav norādes par to, ka par pienākuma nodrošināt trauksmes cēlēja identitātes aizsardzību pārkāpumu būtu paredzēta jebkāda atbildība. Lai gan normatīvo aktu nepārzināšana neatbrīvo personu no atbildības un likumdevējam nav jāveido likuma teksts kā attiecīgās nozares rokasgrāmata, šajā gadījumā būtu vērtējams tas, lai šādas norādes neesamība tomēr praksē neattur atsevišķas personas no trauksmes celšanas. Ne visām personām, kuras vēlas celt trauksmi un kurām ir bažas par tās identitātes aizsardzību, būs pietiekamas juridiskās zināšanas, lai spētu secināt, ka personām, kas neievēro likumā noteikto konfidencialitātes pienākumu varētu tikt piemērota kriminālatbildība. Turklāt jānorāda, ka šobrīd nav gūstams apstiprinājums tam, ka līdz šim kādreiz būtu uzsākts kriminālprocess par trauksmes cēlēja identitātes izpaušanu. Tādējādi likuma tekstā būtu iekļaujama atsauce par piemērojamo atbildību par trauksmes cēlēja identitātes izpaušanu pretēji likumā noteiktajam. </w:t>
            </w:r>
          </w:p>
        </w:tc>
        <w:tc>
          <w:tcPr>
            <w:tcW w:w="1650" w:type="dxa"/>
            <w:shd w:val="clear" w:color="auto" w:fill="FFFFFF" w:themeFill="background1"/>
            <w:noWrap/>
            <w:tcMar>
              <w:top w:w="75" w:type="dxa"/>
              <w:left w:w="75" w:type="dxa"/>
              <w:bottom w:w="75" w:type="dxa"/>
              <w:right w:w="75" w:type="dxa"/>
            </w:tcMar>
            <w:vAlign w:val="center"/>
          </w:tcPr>
          <w:p w14:paraId="40AFDF48" w14:textId="1B035636" w:rsidR="007131C8" w:rsidRPr="00DA46BE" w:rsidRDefault="69DBF2DE">
            <w:pPr>
              <w:jc w:val="left"/>
              <w:rPr>
                <w:color w:val="auto"/>
              </w:rPr>
            </w:pPr>
            <w:r w:rsidRPr="00DA46BE">
              <w:rPr>
                <w:color w:val="auto"/>
              </w:rPr>
              <w:t>Ņemts vērā</w:t>
            </w:r>
          </w:p>
        </w:tc>
        <w:tc>
          <w:tcPr>
            <w:tcW w:w="4056" w:type="dxa"/>
            <w:shd w:val="clear" w:color="auto" w:fill="FFFFFF" w:themeFill="background1"/>
            <w:noWrap/>
            <w:tcMar>
              <w:top w:w="75" w:type="dxa"/>
              <w:left w:w="75" w:type="dxa"/>
              <w:bottom w:w="75" w:type="dxa"/>
              <w:right w:w="75" w:type="dxa"/>
            </w:tcMar>
            <w:vAlign w:val="center"/>
          </w:tcPr>
          <w:p w14:paraId="361591CB" w14:textId="6C740149" w:rsidR="007131C8" w:rsidRPr="00DA46BE" w:rsidRDefault="69DBF2DE">
            <w:pPr>
              <w:jc w:val="left"/>
              <w:rPr>
                <w:color w:val="auto"/>
              </w:rPr>
            </w:pPr>
            <w:r w:rsidRPr="00DA46BE">
              <w:rPr>
                <w:color w:val="auto"/>
              </w:rPr>
              <w:t>Precizēts likumprojekts - papildināta Trauksmes celšanas likuma 11. panta otrā daļa.</w:t>
            </w:r>
          </w:p>
        </w:tc>
      </w:tr>
      <w:tr w:rsidR="00DA46BE" w:rsidRPr="00DA46BE" w14:paraId="78A827FF" w14:textId="77777777" w:rsidTr="3D8B3FCD">
        <w:tc>
          <w:tcPr>
            <w:tcW w:w="750" w:type="dxa"/>
            <w:vMerge/>
            <w:noWrap/>
            <w:tcMar>
              <w:top w:w="75" w:type="dxa"/>
              <w:left w:w="75" w:type="dxa"/>
              <w:bottom w:w="75" w:type="dxa"/>
              <w:right w:w="75" w:type="dxa"/>
            </w:tcMar>
            <w:vAlign w:val="center"/>
          </w:tcPr>
          <w:p w14:paraId="7EBED1AD" w14:textId="77777777" w:rsidR="007131C8" w:rsidRPr="00DA46BE" w:rsidRDefault="007131C8">
            <w:pPr>
              <w:jc w:val="center"/>
              <w:rPr>
                <w:color w:val="auto"/>
              </w:rPr>
            </w:pPr>
          </w:p>
        </w:tc>
        <w:tc>
          <w:tcPr>
            <w:tcW w:w="4055" w:type="dxa"/>
            <w:vMerge/>
            <w:noWrap/>
            <w:tcMar>
              <w:top w:w="75" w:type="dxa"/>
              <w:left w:w="75" w:type="dxa"/>
              <w:bottom w:w="75" w:type="dxa"/>
              <w:right w:w="75" w:type="dxa"/>
            </w:tcMar>
            <w:vAlign w:val="center"/>
          </w:tcPr>
          <w:p w14:paraId="797EDBFF" w14:textId="77777777" w:rsidR="007131C8" w:rsidRPr="00DA46BE" w:rsidRDefault="007131C8">
            <w:pPr>
              <w:jc w:val="left"/>
              <w:rPr>
                <w:color w:val="auto"/>
              </w:rPr>
            </w:pPr>
          </w:p>
        </w:tc>
        <w:tc>
          <w:tcPr>
            <w:tcW w:w="4056" w:type="dxa"/>
            <w:shd w:val="clear" w:color="auto" w:fill="FFFFFF" w:themeFill="background1"/>
            <w:noWrap/>
            <w:tcMar>
              <w:top w:w="75" w:type="dxa"/>
              <w:left w:w="75" w:type="dxa"/>
              <w:bottom w:w="75" w:type="dxa"/>
              <w:right w:w="75" w:type="dxa"/>
            </w:tcMar>
            <w:vAlign w:val="center"/>
          </w:tcPr>
          <w:p w14:paraId="12CAB31C" w14:textId="40704A1C" w:rsidR="007131C8" w:rsidRPr="00DA46BE" w:rsidRDefault="007131C8">
            <w:pPr>
              <w:jc w:val="left"/>
              <w:rPr>
                <w:b/>
                <w:color w:val="auto"/>
              </w:rPr>
            </w:pPr>
            <w:r w:rsidRPr="00DA46BE">
              <w:rPr>
                <w:b/>
                <w:color w:val="auto"/>
              </w:rPr>
              <w:t>8.priekšlikums</w:t>
            </w:r>
            <w:r w:rsidRPr="00DA46BE">
              <w:rPr>
                <w:color w:val="auto"/>
              </w:rPr>
              <w:br/>
              <w:t>Delna rekomendē papildināt Likuma 17.pantu ar vārdiem “tostarp par draudiem vai mēģinājumu radīt šādas sekas” un izteikt to šādā redakcijā:</w:t>
            </w:r>
            <w:r w:rsidRPr="00DA46BE">
              <w:rPr>
                <w:color w:val="auto"/>
              </w:rPr>
              <w:br/>
              <w:t>“17. pants. Administratīvā atbildība par nelabvēlīgu seku radīšanu</w:t>
            </w:r>
            <w:r w:rsidRPr="00DA46BE">
              <w:rPr>
                <w:color w:val="auto"/>
              </w:rPr>
              <w:br/>
              <w:t>Par nelabvēlīgu seku radīšanu trauksmes cēlējam, tostarp par draudiem vai mēģinājumu radīt šādas sekas, viņa radiniekam vai saistītajai personai piemēro naudas sodu — fiziskajai personai no sešām līdz simt četrdesmit naudas soda vienībām, amatpersonai — no astoņām līdz simt četrdesmit naudas soda vienībām, bet juridiskajai personai — no četrpadsmit līdz divtūkstoš astoņsimt naudas soda vienībām.”</w:t>
            </w:r>
            <w:r w:rsidRPr="00DA46BE">
              <w:rPr>
                <w:color w:val="auto"/>
              </w:rPr>
              <w:br/>
              <w:t>No Likuma teksta skaidri un nepārprotami neizriet, ka aizliegums radīt nelabvēlīgas sekas būtu attiecināms arī uz draudiem vai mēģinājumu radīt negatīvās sekas. Tomēr arī šāda rīcība ietver potenciālu kavēt trauksmes celšanu un nelabvēlīgi ietekmēt trauksmes cēlējus. Līdz ar to likumdevējam būtu jāpaplašina negatīvo seku radīšanas aizliegums un par to paredzētā administratīva atbildība, aptverot arī gadījumus, kad personas draud vai mēģina radīt negatīvas sekas trauksmes cēlējam, tā radiniekiem vai saistītajām personām.</w:t>
            </w:r>
          </w:p>
        </w:tc>
        <w:tc>
          <w:tcPr>
            <w:tcW w:w="1650" w:type="dxa"/>
            <w:shd w:val="clear" w:color="auto" w:fill="FFFFFF" w:themeFill="background1"/>
            <w:noWrap/>
            <w:tcMar>
              <w:top w:w="75" w:type="dxa"/>
              <w:left w:w="75" w:type="dxa"/>
              <w:bottom w:w="75" w:type="dxa"/>
              <w:right w:w="75" w:type="dxa"/>
            </w:tcMar>
            <w:vAlign w:val="center"/>
          </w:tcPr>
          <w:p w14:paraId="0545FB30" w14:textId="6E52EA67" w:rsidR="007131C8" w:rsidRPr="00DA46BE" w:rsidRDefault="001875A1">
            <w:pPr>
              <w:jc w:val="left"/>
              <w:rPr>
                <w:color w:val="auto"/>
              </w:rPr>
            </w:pPr>
            <w:r>
              <w:rPr>
                <w:color w:val="auto"/>
              </w:rPr>
              <w:t>Uzskatāms, ka projekts to jau paredz</w:t>
            </w:r>
          </w:p>
        </w:tc>
        <w:tc>
          <w:tcPr>
            <w:tcW w:w="4056" w:type="dxa"/>
            <w:shd w:val="clear" w:color="auto" w:fill="FFFFFF" w:themeFill="background1"/>
            <w:noWrap/>
            <w:tcMar>
              <w:top w:w="75" w:type="dxa"/>
              <w:left w:w="75" w:type="dxa"/>
              <w:bottom w:w="75" w:type="dxa"/>
              <w:right w:w="75" w:type="dxa"/>
            </w:tcMar>
            <w:vAlign w:val="center"/>
          </w:tcPr>
          <w:p w14:paraId="5FC2257F" w14:textId="77777777" w:rsidR="00561A00" w:rsidRPr="00DA46BE" w:rsidRDefault="00561A00">
            <w:pPr>
              <w:jc w:val="left"/>
              <w:rPr>
                <w:color w:val="auto"/>
              </w:rPr>
            </w:pPr>
            <w:r w:rsidRPr="00DA46BE">
              <w:rPr>
                <w:color w:val="auto"/>
              </w:rPr>
              <w:t>Likumprojekts paredz papildināt Trauksmes celšanas likumu ar jaunu terminu šādā redakcijā:</w:t>
            </w:r>
          </w:p>
          <w:p w14:paraId="0A321BDB" w14:textId="77777777" w:rsidR="00561A00" w:rsidRPr="00DA46BE" w:rsidRDefault="00BF0B74">
            <w:pPr>
              <w:jc w:val="left"/>
              <w:rPr>
                <w:color w:val="auto"/>
              </w:rPr>
            </w:pPr>
            <w:r w:rsidRPr="00DA46BE">
              <w:rPr>
                <w:color w:val="auto"/>
              </w:rPr>
              <w:t>"4</w:t>
            </w:r>
            <w:r w:rsidRPr="00DA46BE">
              <w:rPr>
                <w:color w:val="auto"/>
                <w:vertAlign w:val="superscript"/>
              </w:rPr>
              <w:t>1</w:t>
            </w:r>
            <w:r w:rsidRPr="00DA46BE">
              <w:rPr>
                <w:color w:val="auto"/>
              </w:rPr>
              <w:t xml:space="preserve">) </w:t>
            </w:r>
            <w:r w:rsidRPr="00DA46BE">
              <w:rPr>
                <w:b/>
                <w:color w:val="auto"/>
              </w:rPr>
              <w:t>nelabvēlīgu seku radīšana</w:t>
            </w:r>
            <w:r w:rsidRPr="00DA46BE">
              <w:rPr>
                <w:color w:val="auto"/>
              </w:rPr>
              <w:t xml:space="preserve"> – tieša vai netieša darbība vai bezdarbība, kas izraisa vai var izraisīt nelabvēlīgas sekas, tostarp </w:t>
            </w:r>
            <w:r w:rsidRPr="001875A1">
              <w:rPr>
                <w:color w:val="auto"/>
                <w:u w:val="single"/>
              </w:rPr>
              <w:t>draudi vai mēģinājums tās radīt</w:t>
            </w:r>
            <w:r w:rsidRPr="00DA46BE">
              <w:rPr>
                <w:color w:val="auto"/>
              </w:rPr>
              <w:t>;".</w:t>
            </w:r>
          </w:p>
          <w:p w14:paraId="68C214E3" w14:textId="63236D5F" w:rsidR="00BF0B74" w:rsidRPr="00DA46BE" w:rsidRDefault="00BF0B74">
            <w:pPr>
              <w:jc w:val="left"/>
              <w:rPr>
                <w:color w:val="auto"/>
              </w:rPr>
            </w:pPr>
            <w:r w:rsidRPr="00DA46BE">
              <w:rPr>
                <w:color w:val="auto"/>
              </w:rPr>
              <w:t xml:space="preserve">Ievērojot minēto, Trauksmes celšanas likuma 17. pants – </w:t>
            </w:r>
            <w:r w:rsidR="007471DA" w:rsidRPr="00DA46BE">
              <w:rPr>
                <w:color w:val="auto"/>
              </w:rPr>
              <w:t>administratīvā atbildība par nelabvēlīgu seku radīšanu – attieksies, tostarp uz draudiem un mēģinājumiem radīt sekas.</w:t>
            </w:r>
          </w:p>
        </w:tc>
      </w:tr>
      <w:tr w:rsidR="00DA46BE" w:rsidRPr="00DA46BE" w14:paraId="064BD739" w14:textId="77777777" w:rsidTr="3D8B3FCD">
        <w:tc>
          <w:tcPr>
            <w:tcW w:w="750" w:type="dxa"/>
            <w:vMerge/>
            <w:noWrap/>
            <w:tcMar>
              <w:top w:w="75" w:type="dxa"/>
              <w:left w:w="75" w:type="dxa"/>
              <w:bottom w:w="75" w:type="dxa"/>
              <w:right w:w="75" w:type="dxa"/>
            </w:tcMar>
            <w:vAlign w:val="center"/>
          </w:tcPr>
          <w:p w14:paraId="3DFDC7E7" w14:textId="77777777" w:rsidR="007131C8" w:rsidRPr="00DA46BE" w:rsidRDefault="007131C8">
            <w:pPr>
              <w:jc w:val="center"/>
              <w:rPr>
                <w:color w:val="auto"/>
              </w:rPr>
            </w:pPr>
          </w:p>
        </w:tc>
        <w:tc>
          <w:tcPr>
            <w:tcW w:w="4055" w:type="dxa"/>
            <w:vMerge/>
            <w:noWrap/>
            <w:tcMar>
              <w:top w:w="75" w:type="dxa"/>
              <w:left w:w="75" w:type="dxa"/>
              <w:bottom w:w="75" w:type="dxa"/>
              <w:right w:w="75" w:type="dxa"/>
            </w:tcMar>
            <w:vAlign w:val="center"/>
          </w:tcPr>
          <w:p w14:paraId="4BEAC741" w14:textId="77777777" w:rsidR="007131C8" w:rsidRPr="00DA46BE" w:rsidRDefault="007131C8">
            <w:pPr>
              <w:jc w:val="left"/>
              <w:rPr>
                <w:color w:val="auto"/>
              </w:rPr>
            </w:pPr>
          </w:p>
        </w:tc>
        <w:tc>
          <w:tcPr>
            <w:tcW w:w="4056" w:type="dxa"/>
            <w:shd w:val="clear" w:color="auto" w:fill="FFFFFF" w:themeFill="background1"/>
            <w:noWrap/>
            <w:tcMar>
              <w:top w:w="75" w:type="dxa"/>
              <w:left w:w="75" w:type="dxa"/>
              <w:bottom w:w="75" w:type="dxa"/>
              <w:right w:w="75" w:type="dxa"/>
            </w:tcMar>
            <w:vAlign w:val="center"/>
          </w:tcPr>
          <w:p w14:paraId="08EAD664" w14:textId="33834E6D" w:rsidR="007131C8" w:rsidRPr="00DA46BE" w:rsidRDefault="007131C8">
            <w:pPr>
              <w:jc w:val="left"/>
              <w:rPr>
                <w:b/>
                <w:color w:val="auto"/>
              </w:rPr>
            </w:pPr>
            <w:r w:rsidRPr="00DA46BE">
              <w:rPr>
                <w:color w:val="auto"/>
              </w:rPr>
              <w:t>Nobeigumā Delna vērš uzmanību uz nepieciešamību aktualizēt jautājumu par finansiālā un psiholoģiskā atbalsta nodrošināšanu trauksmes cēlējiem. Trauksmes celšana var būt psiholoģiski smags process. Turklāt, trauksmes cēlēji var saskarties ar psiholoģisku spiedienu gan no darba devēja, gan kolēģu puses, kas izpaužas kā emocionāla ietekmēšana, iebiedēšana, ignorēšana vai izstumšana. Šādas situācijas var radīt būtisku emocionālo spriedzi. Trauksmes celšanas likums nodrošina pamata mehānismus, kas atbalsta trauksmes cēlējus, taču tas neparedz atsevišķus papildu atbalsta veidus, piemēram, psiholoģisko palīdzību. Lai pilnveidotu trauksmes celšanas regulējumu un veicinātu tā mērķa sasniegšanu, likumdevējam būtu jāizvērtē iespējas paplašināt valsts sniegto juridisko palīdzību (ne tikai uz gadījumiem, kad radītas nelabvēlīgas sekas), kā arī paredzēt psiholoģiska un finansiāla atbalsta sniegšanu.</w:t>
            </w:r>
          </w:p>
        </w:tc>
        <w:tc>
          <w:tcPr>
            <w:tcW w:w="1650" w:type="dxa"/>
            <w:shd w:val="clear" w:color="auto" w:fill="FFFFFF" w:themeFill="background1"/>
            <w:noWrap/>
            <w:tcMar>
              <w:top w:w="75" w:type="dxa"/>
              <w:left w:w="75" w:type="dxa"/>
              <w:bottom w:w="75" w:type="dxa"/>
              <w:right w:w="75" w:type="dxa"/>
            </w:tcMar>
            <w:vAlign w:val="center"/>
          </w:tcPr>
          <w:p w14:paraId="342F82A3" w14:textId="2FD61D03" w:rsidR="007131C8" w:rsidRPr="00DA46BE" w:rsidRDefault="00555798">
            <w:pPr>
              <w:jc w:val="left"/>
              <w:rPr>
                <w:color w:val="auto"/>
              </w:rPr>
            </w:pPr>
            <w:r w:rsidRPr="00DA46BE">
              <w:rPr>
                <w:color w:val="auto"/>
              </w:rPr>
              <w:t>Nav ņemts vērā</w:t>
            </w:r>
          </w:p>
        </w:tc>
        <w:tc>
          <w:tcPr>
            <w:tcW w:w="4056" w:type="dxa"/>
            <w:shd w:val="clear" w:color="auto" w:fill="FFFFFF" w:themeFill="background1"/>
            <w:noWrap/>
            <w:tcMar>
              <w:top w:w="75" w:type="dxa"/>
              <w:left w:w="75" w:type="dxa"/>
              <w:bottom w:w="75" w:type="dxa"/>
              <w:right w:w="75" w:type="dxa"/>
            </w:tcMar>
            <w:vAlign w:val="center"/>
          </w:tcPr>
          <w:p w14:paraId="4A9CF7F9" w14:textId="77777777" w:rsidR="007131C8" w:rsidRPr="00DA46BE" w:rsidRDefault="00555798">
            <w:pPr>
              <w:jc w:val="left"/>
              <w:rPr>
                <w:color w:val="auto"/>
              </w:rPr>
            </w:pPr>
            <w:r w:rsidRPr="00DA46BE">
              <w:rPr>
                <w:color w:val="auto"/>
              </w:rPr>
              <w:t>Informatīvajā ziņojumā “Trauksmes celšanas likuma īstenošanas </w:t>
            </w:r>
            <w:r w:rsidRPr="00DA46BE">
              <w:rPr>
                <w:i/>
                <w:iCs/>
                <w:color w:val="auto"/>
              </w:rPr>
              <w:t>ex-post </w:t>
            </w:r>
            <w:r w:rsidRPr="00DA46BE">
              <w:rPr>
                <w:color w:val="auto"/>
              </w:rPr>
              <w:t xml:space="preserve">izvērtējums” </w:t>
            </w:r>
            <w:r w:rsidR="00DD18F2" w:rsidRPr="00DA46BE">
              <w:rPr>
                <w:color w:val="auto"/>
              </w:rPr>
              <w:t>(24-TA-1548) tika norādīts, ka</w:t>
            </w:r>
            <w:r w:rsidR="00133CEB" w:rsidRPr="00DA46BE">
              <w:rPr>
                <w:color w:val="auto"/>
              </w:rPr>
              <w:t>:</w:t>
            </w:r>
          </w:p>
          <w:p w14:paraId="312C077D" w14:textId="77777777" w:rsidR="00133CEB" w:rsidRPr="00DA46BE" w:rsidRDefault="00133CEB" w:rsidP="00133CEB">
            <w:pPr>
              <w:jc w:val="left"/>
              <w:rPr>
                <w:b/>
                <w:bCs/>
                <w:color w:val="auto"/>
              </w:rPr>
            </w:pPr>
            <w:r w:rsidRPr="00DA46BE">
              <w:rPr>
                <w:color w:val="auto"/>
              </w:rPr>
              <w:t>“</w:t>
            </w:r>
            <w:r w:rsidRPr="00DA46BE">
              <w:rPr>
                <w:b/>
                <w:color w:val="auto"/>
              </w:rPr>
              <w:t>Savukārt, ja lemtu par finansiālo</w:t>
            </w:r>
            <w:r w:rsidRPr="00DA46BE">
              <w:rPr>
                <w:color w:val="auto"/>
              </w:rPr>
              <w:t xml:space="preserve"> </w:t>
            </w:r>
            <w:r w:rsidRPr="00DA46BE">
              <w:rPr>
                <w:b/>
                <w:color w:val="auto"/>
              </w:rPr>
              <w:t>a</w:t>
            </w:r>
            <w:r w:rsidRPr="00DA46BE">
              <w:rPr>
                <w:b/>
                <w:bCs/>
                <w:color w:val="auto"/>
              </w:rPr>
              <w:t>tlīdzību vai psiholoģisko palīdzību trauksmes cēlējiem, tad provizoriski būtu nepieciešams papildu finansējums. Šobrīd šāda papildu finansējuma apmēru nav iespējams noteikt, jo nav zināmas lietu kategorijas, kritēriji un iespējamās valsts budžeta iespējas atlīdzības izmaksai.</w:t>
            </w:r>
          </w:p>
          <w:p w14:paraId="60D3437C" w14:textId="41708B9A" w:rsidR="00133CEB" w:rsidRDefault="00133CEB" w:rsidP="00133CEB">
            <w:pPr>
              <w:jc w:val="left"/>
              <w:rPr>
                <w:color w:val="auto"/>
              </w:rPr>
            </w:pPr>
            <w:r w:rsidRPr="00DA46BE">
              <w:rPr>
                <w:color w:val="auto"/>
              </w:rPr>
              <w:t>Šobrīd netiek plānots lemt par finansiālo a</w:t>
            </w:r>
            <w:r w:rsidRPr="00DA46BE">
              <w:rPr>
                <w:bCs/>
                <w:color w:val="auto"/>
              </w:rPr>
              <w:t>tlīdzību vai psiholoģisko palīdzību trauksmes cēlējiem, jo</w:t>
            </w:r>
            <w:r w:rsidRPr="00DA46BE">
              <w:rPr>
                <w:color w:val="auto"/>
              </w:rPr>
              <w:t xml:space="preserve"> 2024. gada 30. aprīlī stājušies spēkā Eiropas Savienības Stabilitātes un izaugsmes pakta reformas ietvaros pieņemtie tiesību akti (jaunie Eiropas Savienības fiskālie noteikumi), kas līdz ar Fiskālās disciplīnas likuma nosacījumiem būs jāņem vērā</w:t>
            </w:r>
            <w:r w:rsidR="006330B8">
              <w:rPr>
                <w:color w:val="auto"/>
              </w:rPr>
              <w:t>,</w:t>
            </w:r>
            <w:r w:rsidRPr="00DA46BE">
              <w:rPr>
                <w:color w:val="auto"/>
              </w:rPr>
              <w:t xml:space="preserve"> sagatavojot likumprojektu "Par valsts budžetu 2025. gadam un budžeta ietvaru 2025., 2026. un 2027. gadam". Līdz ar to iespējas piešķirt papildu finanšu resursus turpmākajos gados būs ierobežotas un attiecīgi visas nozaru ministrijas tiks aicinātas jaunas prioritātes nodrošināt, pamatā pārskatot jau piešķirto finansējumu, veicot savu bāzes izdevumu pārskatīšanu.”</w:t>
            </w:r>
          </w:p>
          <w:p w14:paraId="75FC061F" w14:textId="77777777" w:rsidR="00EC2DFC" w:rsidRDefault="00EC2DFC" w:rsidP="00133CEB">
            <w:pPr>
              <w:jc w:val="left"/>
              <w:rPr>
                <w:color w:val="auto"/>
              </w:rPr>
            </w:pPr>
          </w:p>
          <w:p w14:paraId="132E17ED" w14:textId="0AF45A37" w:rsidR="00EC2DFC" w:rsidRDefault="00EC2DFC" w:rsidP="00EC2DFC">
            <w:pPr>
              <w:jc w:val="left"/>
              <w:rPr>
                <w:color w:val="auto"/>
              </w:rPr>
            </w:pPr>
            <w:r>
              <w:rPr>
                <w:color w:val="auto"/>
              </w:rPr>
              <w:t xml:space="preserve">Turklāt 2025. gada </w:t>
            </w:r>
            <w:r w:rsidRPr="004903D0">
              <w:rPr>
                <w:color w:val="auto"/>
              </w:rPr>
              <w:t xml:space="preserve">25. jūnijā Ministru </w:t>
            </w:r>
            <w:r>
              <w:rPr>
                <w:color w:val="auto"/>
              </w:rPr>
              <w:t>k</w:t>
            </w:r>
            <w:r w:rsidRPr="004903D0">
              <w:rPr>
                <w:color w:val="auto"/>
              </w:rPr>
              <w:t>abinets atbalstīja Finanšu ministrijas sagatavoto</w:t>
            </w:r>
            <w:r w:rsidR="005B7436">
              <w:rPr>
                <w:color w:val="auto"/>
              </w:rPr>
              <w:t xml:space="preserve"> projektu –</w:t>
            </w:r>
            <w:r w:rsidRPr="004903D0">
              <w:rPr>
                <w:color w:val="auto"/>
              </w:rPr>
              <w:t xml:space="preserve"> </w:t>
            </w:r>
            <w:r w:rsidR="005B7436" w:rsidRPr="005B7436">
              <w:rPr>
                <w:color w:val="auto"/>
              </w:rPr>
              <w:t>Grozījumi Ministru kabineta 2025. gada 27. marta rīkojumā Nr. 179 "Par likumprojekta "Par valsts budžetu 2026. gadam un budžeta ietvaru 2026., 2027. un 2028. gadam" sagatavošanas grafiku"</w:t>
            </w:r>
            <w:r w:rsidRPr="004903D0">
              <w:rPr>
                <w:color w:val="auto"/>
              </w:rPr>
              <w:t xml:space="preserve">, </w:t>
            </w:r>
            <w:r w:rsidR="005000B9">
              <w:rPr>
                <w:color w:val="auto"/>
              </w:rPr>
              <w:t>nosakot, ka</w:t>
            </w:r>
            <w:r w:rsidRPr="004903D0">
              <w:rPr>
                <w:color w:val="auto"/>
              </w:rPr>
              <w:t xml:space="preserve"> ministrij</w:t>
            </w:r>
            <w:r w:rsidR="00C53E10">
              <w:rPr>
                <w:color w:val="auto"/>
              </w:rPr>
              <w:t>as</w:t>
            </w:r>
            <w:r w:rsidRPr="004903D0">
              <w:rPr>
                <w:color w:val="auto"/>
              </w:rPr>
              <w:t xml:space="preserve"> un centrāl</w:t>
            </w:r>
            <w:r w:rsidR="00C53E10">
              <w:rPr>
                <w:color w:val="auto"/>
              </w:rPr>
              <w:t>ās</w:t>
            </w:r>
            <w:r w:rsidRPr="004903D0">
              <w:rPr>
                <w:color w:val="auto"/>
              </w:rPr>
              <w:t xml:space="preserve"> valsts iestād</w:t>
            </w:r>
            <w:r w:rsidR="00C53E10">
              <w:rPr>
                <w:color w:val="auto"/>
              </w:rPr>
              <w:t>es</w:t>
            </w:r>
            <w:r w:rsidRPr="004903D0">
              <w:rPr>
                <w:color w:val="auto"/>
              </w:rPr>
              <w:t xml:space="preserve"> nesnie</w:t>
            </w:r>
            <w:r w:rsidR="00C53E10">
              <w:rPr>
                <w:color w:val="auto"/>
              </w:rPr>
              <w:t>dz</w:t>
            </w:r>
            <w:r w:rsidRPr="004903D0">
              <w:rPr>
                <w:color w:val="auto"/>
              </w:rPr>
              <w:t xml:space="preserve"> priekšlikumus prioritārajiem pasākumiem. </w:t>
            </w:r>
          </w:p>
          <w:p w14:paraId="3BF29260" w14:textId="77777777" w:rsidR="00EC2DFC" w:rsidRPr="00DA46BE" w:rsidRDefault="00EC2DFC" w:rsidP="00133CEB">
            <w:pPr>
              <w:jc w:val="left"/>
              <w:rPr>
                <w:color w:val="auto"/>
              </w:rPr>
            </w:pPr>
          </w:p>
          <w:p w14:paraId="1EE1FD7F" w14:textId="77777777" w:rsidR="00C44412" w:rsidRPr="00DA46BE" w:rsidRDefault="00C44412" w:rsidP="00133CEB">
            <w:pPr>
              <w:jc w:val="left"/>
              <w:rPr>
                <w:color w:val="auto"/>
              </w:rPr>
            </w:pPr>
          </w:p>
          <w:p w14:paraId="1DB3658F" w14:textId="5E640B67" w:rsidR="00C44412" w:rsidRPr="00DA46BE" w:rsidRDefault="00C44412" w:rsidP="00133CEB">
            <w:pPr>
              <w:jc w:val="left"/>
              <w:rPr>
                <w:color w:val="auto"/>
              </w:rPr>
            </w:pPr>
            <w:r w:rsidRPr="00DA46BE">
              <w:rPr>
                <w:color w:val="auto"/>
              </w:rPr>
              <w:t xml:space="preserve">Vienlaikus </w:t>
            </w:r>
            <w:r w:rsidR="00024C25">
              <w:rPr>
                <w:color w:val="auto"/>
              </w:rPr>
              <w:t>norādām</w:t>
            </w:r>
            <w:r w:rsidRPr="00DA46BE">
              <w:rPr>
                <w:color w:val="auto"/>
              </w:rPr>
              <w:t xml:space="preserve">, ka pamatojoties uz </w:t>
            </w:r>
            <w:r w:rsidRPr="00DA46BE">
              <w:rPr>
                <w:i/>
                <w:iCs/>
                <w:color w:val="auto"/>
              </w:rPr>
              <w:t>ex-post</w:t>
            </w:r>
            <w:r w:rsidRPr="00DA46BE">
              <w:rPr>
                <w:color w:val="auto"/>
              </w:rPr>
              <w:t xml:space="preserve"> ziņojumā secināto, </w:t>
            </w:r>
            <w:r w:rsidR="00CF6C82">
              <w:rPr>
                <w:color w:val="auto"/>
              </w:rPr>
              <w:t xml:space="preserve">nākotnē </w:t>
            </w:r>
            <w:r w:rsidR="00CF6C82" w:rsidRPr="00DA46BE">
              <w:rPr>
                <w:color w:val="auto"/>
              </w:rPr>
              <w:t xml:space="preserve">jāturpina vērtēt </w:t>
            </w:r>
            <w:r w:rsidR="00CF6C82">
              <w:rPr>
                <w:color w:val="auto"/>
              </w:rPr>
              <w:t xml:space="preserve">psiholoģiskā atbalsta, kā arī </w:t>
            </w:r>
            <w:r w:rsidRPr="00DA46BE">
              <w:rPr>
                <w:color w:val="auto"/>
              </w:rPr>
              <w:t>finansiālas atlīdzības vai kompensācijas izmaksas iespējas trauksmes cēlējiem, tostarp noskaidrojot sabiedrības viedokli un ņemot vērā valsts budžeta iespējas.</w:t>
            </w:r>
          </w:p>
        </w:tc>
      </w:tr>
    </w:tbl>
    <w:p w14:paraId="5CB72468" w14:textId="77777777" w:rsidR="00C60D37" w:rsidRPr="00DA46BE" w:rsidRDefault="00C60D37">
      <w:pPr>
        <w:rPr>
          <w:color w:val="auto"/>
        </w:rPr>
      </w:pPr>
    </w:p>
    <w:tbl>
      <w:tblPr>
        <w:tblStyle w:val="a"/>
        <w:tblW w:w="14567" w:type="dxa"/>
        <w:tblLayout w:type="fixed"/>
        <w:tblLook w:val="0600" w:firstRow="0" w:lastRow="0" w:firstColumn="0" w:lastColumn="0" w:noHBand="1" w:noVBand="1"/>
      </w:tblPr>
      <w:tblGrid>
        <w:gridCol w:w="4855"/>
        <w:gridCol w:w="4856"/>
        <w:gridCol w:w="4856"/>
      </w:tblGrid>
      <w:tr w:rsidR="00DA46BE" w:rsidRPr="00DA46BE" w14:paraId="1803EFA0" w14:textId="77777777" w:rsidTr="3D8B3FCD">
        <w:tc>
          <w:tcPr>
            <w:tcW w:w="4855" w:type="dxa"/>
            <w:shd w:val="clear" w:color="auto" w:fill="FFFFFF" w:themeFill="background1"/>
            <w:noWrap/>
            <w:tcMar>
              <w:top w:w="75" w:type="dxa"/>
              <w:left w:w="75" w:type="dxa"/>
              <w:bottom w:w="75" w:type="dxa"/>
              <w:right w:w="75" w:type="dxa"/>
            </w:tcMar>
            <w:vAlign w:val="center"/>
          </w:tcPr>
          <w:p w14:paraId="78FC9334" w14:textId="77777777" w:rsidR="00C60D37" w:rsidRPr="00DA46BE" w:rsidRDefault="00933203">
            <w:pPr>
              <w:jc w:val="left"/>
              <w:rPr>
                <w:color w:val="auto"/>
              </w:rPr>
            </w:pPr>
            <w:r w:rsidRPr="00DA46BE">
              <w:rPr>
                <w:color w:val="auto"/>
              </w:rPr>
              <w:t>Datums**</w:t>
            </w:r>
          </w:p>
        </w:tc>
        <w:tc>
          <w:tcPr>
            <w:tcW w:w="4856" w:type="dxa"/>
            <w:shd w:val="clear" w:color="auto" w:fill="FFFFFF" w:themeFill="background1"/>
            <w:noWrap/>
            <w:tcMar>
              <w:top w:w="75" w:type="dxa"/>
              <w:left w:w="75" w:type="dxa"/>
              <w:bottom w:w="75" w:type="dxa"/>
              <w:right w:w="75" w:type="dxa"/>
            </w:tcMar>
            <w:vAlign w:val="center"/>
          </w:tcPr>
          <w:p w14:paraId="0CA8218A" w14:textId="279B50C0" w:rsidR="00C60D37" w:rsidRPr="00DA46BE" w:rsidRDefault="007131C8" w:rsidP="3D8B3FCD">
            <w:pPr>
              <w:pBdr>
                <w:bottom w:val="single" w:sz="10" w:space="1" w:color="000000"/>
              </w:pBdr>
              <w:rPr>
                <w:color w:val="auto"/>
              </w:rPr>
            </w:pPr>
            <w:r w:rsidRPr="00DA46BE">
              <w:rPr>
                <w:color w:val="auto"/>
              </w:rPr>
              <w:t>2</w:t>
            </w:r>
            <w:r w:rsidR="35D30276" w:rsidRPr="00DA46BE">
              <w:rPr>
                <w:color w:val="auto"/>
              </w:rPr>
              <w:t>7</w:t>
            </w:r>
            <w:r w:rsidRPr="00DA46BE">
              <w:rPr>
                <w:color w:val="auto"/>
              </w:rPr>
              <w:t>.06.2025.</w:t>
            </w:r>
          </w:p>
        </w:tc>
        <w:tc>
          <w:tcPr>
            <w:tcW w:w="4856" w:type="dxa"/>
            <w:shd w:val="clear" w:color="auto" w:fill="FFFFFF" w:themeFill="background1"/>
            <w:noWrap/>
            <w:tcMar>
              <w:top w:w="75" w:type="dxa"/>
              <w:left w:w="75" w:type="dxa"/>
              <w:bottom w:w="75" w:type="dxa"/>
              <w:right w:w="75" w:type="dxa"/>
            </w:tcMar>
            <w:vAlign w:val="center"/>
          </w:tcPr>
          <w:p w14:paraId="291B5120" w14:textId="77777777" w:rsidR="00C60D37" w:rsidRPr="00DA46BE" w:rsidRDefault="00C60D37">
            <w:pPr>
              <w:rPr>
                <w:color w:val="auto"/>
              </w:rPr>
            </w:pPr>
          </w:p>
        </w:tc>
      </w:tr>
      <w:tr w:rsidR="00DA46BE" w:rsidRPr="00DA46BE" w14:paraId="074E1059" w14:textId="77777777" w:rsidTr="3D8B3FCD">
        <w:tc>
          <w:tcPr>
            <w:tcW w:w="4855" w:type="dxa"/>
            <w:shd w:val="clear" w:color="auto" w:fill="FFFFFF" w:themeFill="background1"/>
            <w:noWrap/>
            <w:tcMar>
              <w:top w:w="75" w:type="dxa"/>
              <w:left w:w="75" w:type="dxa"/>
              <w:bottom w:w="75" w:type="dxa"/>
              <w:right w:w="75" w:type="dxa"/>
            </w:tcMar>
            <w:vAlign w:val="center"/>
          </w:tcPr>
          <w:p w14:paraId="6A0C8D09" w14:textId="77777777" w:rsidR="00C60D37" w:rsidRPr="00DA46BE" w:rsidRDefault="00C60D37">
            <w:pPr>
              <w:rPr>
                <w:color w:val="auto"/>
              </w:rPr>
            </w:pPr>
          </w:p>
        </w:tc>
        <w:tc>
          <w:tcPr>
            <w:tcW w:w="4856" w:type="dxa"/>
            <w:shd w:val="clear" w:color="auto" w:fill="FFFFFF" w:themeFill="background1"/>
            <w:noWrap/>
            <w:tcMar>
              <w:top w:w="75" w:type="dxa"/>
              <w:left w:w="75" w:type="dxa"/>
              <w:bottom w:w="75" w:type="dxa"/>
              <w:right w:w="75" w:type="dxa"/>
            </w:tcMar>
            <w:vAlign w:val="center"/>
          </w:tcPr>
          <w:p w14:paraId="7E8B9025" w14:textId="77777777" w:rsidR="00C60D37" w:rsidRPr="00DA46BE" w:rsidRDefault="00933203">
            <w:pPr>
              <w:jc w:val="center"/>
              <w:rPr>
                <w:color w:val="auto"/>
              </w:rPr>
            </w:pPr>
            <w:r w:rsidRPr="00DA46BE">
              <w:rPr>
                <w:color w:val="auto"/>
              </w:rPr>
              <w:t>(dd.mm.gggg)</w:t>
            </w:r>
          </w:p>
        </w:tc>
        <w:tc>
          <w:tcPr>
            <w:tcW w:w="4856" w:type="dxa"/>
            <w:shd w:val="clear" w:color="auto" w:fill="FFFFFF" w:themeFill="background1"/>
            <w:noWrap/>
            <w:tcMar>
              <w:top w:w="75" w:type="dxa"/>
              <w:left w:w="75" w:type="dxa"/>
              <w:bottom w:w="75" w:type="dxa"/>
              <w:right w:w="75" w:type="dxa"/>
            </w:tcMar>
            <w:vAlign w:val="center"/>
          </w:tcPr>
          <w:p w14:paraId="4B25E1A3" w14:textId="77777777" w:rsidR="00C60D37" w:rsidRPr="00DA46BE" w:rsidRDefault="00C60D37">
            <w:pPr>
              <w:rPr>
                <w:color w:val="auto"/>
              </w:rPr>
            </w:pPr>
          </w:p>
        </w:tc>
      </w:tr>
      <w:tr w:rsidR="00DA46BE" w:rsidRPr="00DA46BE" w14:paraId="127138A5" w14:textId="77777777" w:rsidTr="3D8B3FCD">
        <w:tc>
          <w:tcPr>
            <w:tcW w:w="4855" w:type="dxa"/>
            <w:shd w:val="clear" w:color="auto" w:fill="FFFFFF" w:themeFill="background1"/>
            <w:noWrap/>
            <w:tcMar>
              <w:top w:w="75" w:type="dxa"/>
              <w:left w:w="75" w:type="dxa"/>
              <w:bottom w:w="75" w:type="dxa"/>
              <w:right w:w="75" w:type="dxa"/>
            </w:tcMar>
            <w:vAlign w:val="center"/>
          </w:tcPr>
          <w:p w14:paraId="58D5C98C" w14:textId="77777777" w:rsidR="00C60D37" w:rsidRPr="00DA46BE" w:rsidRDefault="00933203">
            <w:pPr>
              <w:jc w:val="left"/>
              <w:rPr>
                <w:color w:val="auto"/>
              </w:rPr>
            </w:pPr>
            <w:r w:rsidRPr="00DA46BE">
              <w:rPr>
                <w:color w:val="auto"/>
              </w:rPr>
              <w:t>Atbildīgā persona</w:t>
            </w:r>
          </w:p>
        </w:tc>
        <w:tc>
          <w:tcPr>
            <w:tcW w:w="4856" w:type="dxa"/>
            <w:shd w:val="clear" w:color="auto" w:fill="FFFFFF" w:themeFill="background1"/>
            <w:noWrap/>
            <w:tcMar>
              <w:top w:w="75" w:type="dxa"/>
              <w:left w:w="75" w:type="dxa"/>
              <w:bottom w:w="75" w:type="dxa"/>
              <w:right w:w="75" w:type="dxa"/>
            </w:tcMar>
            <w:vAlign w:val="center"/>
          </w:tcPr>
          <w:p w14:paraId="1CA1E7F0" w14:textId="5FC4DBCD" w:rsidR="00C60D37" w:rsidRPr="00DA46BE" w:rsidRDefault="007131C8">
            <w:pPr>
              <w:pBdr>
                <w:bottom w:val="single" w:sz="10" w:space="1" w:color="000000"/>
              </w:pBdr>
              <w:rPr>
                <w:color w:val="auto"/>
              </w:rPr>
            </w:pPr>
            <w:r w:rsidRPr="00DA46BE">
              <w:rPr>
                <w:color w:val="auto"/>
              </w:rPr>
              <w:t>Kristīne Stone</w:t>
            </w:r>
          </w:p>
        </w:tc>
        <w:tc>
          <w:tcPr>
            <w:tcW w:w="4856" w:type="dxa"/>
            <w:shd w:val="clear" w:color="auto" w:fill="FFFFFF" w:themeFill="background1"/>
            <w:noWrap/>
            <w:tcMar>
              <w:top w:w="75" w:type="dxa"/>
              <w:left w:w="75" w:type="dxa"/>
              <w:bottom w:w="75" w:type="dxa"/>
              <w:right w:w="75" w:type="dxa"/>
            </w:tcMar>
            <w:vAlign w:val="center"/>
          </w:tcPr>
          <w:p w14:paraId="0A4BA122" w14:textId="77777777" w:rsidR="00C60D37" w:rsidRPr="00DA46BE" w:rsidRDefault="00C60D37">
            <w:pPr>
              <w:rPr>
                <w:color w:val="auto"/>
              </w:rPr>
            </w:pPr>
          </w:p>
        </w:tc>
      </w:tr>
      <w:tr w:rsidR="00DA46BE" w:rsidRPr="00DA46BE" w14:paraId="0FE85813" w14:textId="77777777" w:rsidTr="3D8B3FCD">
        <w:tc>
          <w:tcPr>
            <w:tcW w:w="4855" w:type="dxa"/>
            <w:shd w:val="clear" w:color="auto" w:fill="FFFFFF" w:themeFill="background1"/>
            <w:noWrap/>
            <w:tcMar>
              <w:top w:w="75" w:type="dxa"/>
              <w:left w:w="75" w:type="dxa"/>
              <w:bottom w:w="75" w:type="dxa"/>
              <w:right w:w="75" w:type="dxa"/>
            </w:tcMar>
            <w:vAlign w:val="center"/>
          </w:tcPr>
          <w:p w14:paraId="1C96DAA0" w14:textId="77777777" w:rsidR="00C60D37" w:rsidRPr="00DA46BE" w:rsidRDefault="00C60D37">
            <w:pPr>
              <w:rPr>
                <w:color w:val="auto"/>
              </w:rPr>
            </w:pPr>
          </w:p>
        </w:tc>
        <w:tc>
          <w:tcPr>
            <w:tcW w:w="4856" w:type="dxa"/>
            <w:shd w:val="clear" w:color="auto" w:fill="FFFFFF" w:themeFill="background1"/>
            <w:noWrap/>
            <w:tcMar>
              <w:top w:w="75" w:type="dxa"/>
              <w:left w:w="75" w:type="dxa"/>
              <w:bottom w:w="75" w:type="dxa"/>
              <w:right w:w="75" w:type="dxa"/>
            </w:tcMar>
            <w:vAlign w:val="center"/>
          </w:tcPr>
          <w:p w14:paraId="624DE6F1" w14:textId="77777777" w:rsidR="00C60D37" w:rsidRPr="00DA46BE" w:rsidRDefault="00933203">
            <w:pPr>
              <w:jc w:val="center"/>
              <w:rPr>
                <w:color w:val="auto"/>
              </w:rPr>
            </w:pPr>
            <w:r w:rsidRPr="00DA46BE">
              <w:rPr>
                <w:color w:val="auto"/>
              </w:rPr>
              <w:t>(vārds, uzvārds, paraksts**)</w:t>
            </w:r>
          </w:p>
        </w:tc>
        <w:tc>
          <w:tcPr>
            <w:tcW w:w="4856" w:type="dxa"/>
            <w:shd w:val="clear" w:color="auto" w:fill="FFFFFF" w:themeFill="background1"/>
            <w:noWrap/>
            <w:tcMar>
              <w:top w:w="75" w:type="dxa"/>
              <w:left w:w="75" w:type="dxa"/>
              <w:bottom w:w="75" w:type="dxa"/>
              <w:right w:w="75" w:type="dxa"/>
            </w:tcMar>
            <w:vAlign w:val="center"/>
          </w:tcPr>
          <w:p w14:paraId="61A19BF1" w14:textId="77777777" w:rsidR="00C60D37" w:rsidRPr="00DA46BE" w:rsidRDefault="00C60D37">
            <w:pPr>
              <w:rPr>
                <w:color w:val="auto"/>
              </w:rPr>
            </w:pPr>
          </w:p>
        </w:tc>
      </w:tr>
    </w:tbl>
    <w:p w14:paraId="5F879D7A" w14:textId="77777777" w:rsidR="00C60D37" w:rsidRPr="00DA46BE" w:rsidRDefault="00C60D37">
      <w:pPr>
        <w:rPr>
          <w:color w:val="auto"/>
        </w:rPr>
      </w:pPr>
    </w:p>
    <w:p w14:paraId="70B14395" w14:textId="77777777" w:rsidR="00C60D37" w:rsidRPr="00DA46BE" w:rsidRDefault="00933203">
      <w:pPr>
        <w:rPr>
          <w:color w:val="auto"/>
        </w:rPr>
      </w:pPr>
      <w:r w:rsidRPr="00DA46BE">
        <w:rPr>
          <w:color w:val="auto"/>
        </w:rPr>
        <w:t>Piezīmes.</w:t>
      </w:r>
    </w:p>
    <w:p w14:paraId="5B7AAB68" w14:textId="77777777" w:rsidR="00C60D37" w:rsidRPr="00DA46BE" w:rsidRDefault="00933203">
      <w:pPr>
        <w:rPr>
          <w:color w:val="auto"/>
        </w:rPr>
      </w:pPr>
      <w:r w:rsidRPr="00DA46BE">
        <w:rPr>
          <w:color w:val="auto"/>
        </w:rPr>
        <w:t>* Iesniedzējs (fiziskai personai – vārds, uzvārds, juridiskai personai – nosaukums) var tikt publiskots, ja viņš tam ir piekritis. Ja attiecināms, iesniedzējs norāda interešu pārstāvja reģistrācijas numuru.</w:t>
      </w:r>
    </w:p>
    <w:p w14:paraId="0C0E8D6D" w14:textId="77777777" w:rsidR="00C60D37" w:rsidRPr="00DA46BE" w:rsidRDefault="00933203">
      <w:pPr>
        <w:rPr>
          <w:color w:val="auto"/>
        </w:rPr>
      </w:pPr>
      <w:r w:rsidRPr="00DA46BE">
        <w:rPr>
          <w:color w:val="auto"/>
        </w:rPr>
        <w:t>** Dokumenta rekvizītus "datums" un "paraksts" neaizpilda, ja elektroniskais dokuments ir sagatavots atbilstoši normatīvajiem aktiem par elektronisko dokumentu noformēšanu.</w:t>
      </w:r>
    </w:p>
    <w:sectPr w:rsidR="00C60D37" w:rsidRPr="00DA46BE">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8BE72" w14:textId="77777777" w:rsidR="00D31FD5" w:rsidRDefault="00D31FD5">
      <w:r>
        <w:separator/>
      </w:r>
    </w:p>
  </w:endnote>
  <w:endnote w:type="continuationSeparator" w:id="0">
    <w:p w14:paraId="52B37554" w14:textId="77777777" w:rsidR="00D31FD5" w:rsidRDefault="00D31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40DC3" w14:textId="77777777" w:rsidR="00C60D37" w:rsidRDefault="00933203">
    <w:pPr>
      <w:jc w:val="right"/>
    </w:pPr>
    <w:r>
      <w:rPr>
        <w:sz w:val="24"/>
        <w:szCs w:val="24"/>
      </w:rPr>
      <w:fldChar w:fldCharType="begin"/>
    </w:r>
    <w:r>
      <w:rPr>
        <w:sz w:val="24"/>
        <w:szCs w:val="24"/>
      </w:rPr>
      <w:instrText>PAGE</w:instrText>
    </w:r>
    <w:r>
      <w:rPr>
        <w:sz w:val="24"/>
        <w:szCs w:val="24"/>
      </w:rPr>
      <w:fldChar w:fldCharType="separate"/>
    </w:r>
    <w:r w:rsidR="007131C8">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E789D" w14:textId="77777777" w:rsidR="00CB266E" w:rsidRDefault="00933203">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7E2D7" w14:textId="77777777" w:rsidR="00D31FD5" w:rsidRDefault="00D31FD5">
      <w:r>
        <w:separator/>
      </w:r>
    </w:p>
  </w:footnote>
  <w:footnote w:type="continuationSeparator" w:id="0">
    <w:p w14:paraId="4EDE1F95" w14:textId="77777777" w:rsidR="00D31FD5" w:rsidRDefault="00D31FD5">
      <w:r>
        <w:continuationSeparator/>
      </w:r>
    </w:p>
  </w:footnote>
  <w:footnote w:id="1">
    <w:p w14:paraId="5D5E0858" w14:textId="77777777" w:rsidR="00E43930" w:rsidRDefault="00E43930" w:rsidP="00E43930">
      <w:pPr>
        <w:pStyle w:val="FootnoteText"/>
      </w:pPr>
      <w:r>
        <w:rPr>
          <w:rStyle w:val="FootnoteReference"/>
        </w:rPr>
        <w:footnoteRef/>
      </w:r>
      <w:r>
        <w:t xml:space="preserve"> </w:t>
      </w:r>
      <w:r w:rsidRPr="00DA1FCF">
        <w:t>https://www.mk.gov.lv/lv/jaunums/kampana-darbinieks-nav-nieks-vairos-iedzivotaju-izpratni-par-trauksmes-celsanu-darbavieta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040B3" w14:textId="77777777" w:rsidR="00C60D37" w:rsidRDefault="00933203">
    <w:pPr>
      <w:pStyle w:val="Header"/>
      <w:contextualSpacing w:val="0"/>
    </w:pPr>
    <w:r>
      <w:t>Viedokļu pārskats 25-TA-925</w:t>
    </w:r>
    <w:r>
      <w:br/>
      <w:t>Izdrukāts 26.06.2025. 08.35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4EC6B" w14:textId="77777777" w:rsidR="00C60D37" w:rsidRDefault="00933203">
    <w:pPr>
      <w:pStyle w:val="Header"/>
      <w:contextualSpacing w:val="0"/>
    </w:pPr>
    <w:r>
      <w:t>Viedokļu pārskats 25-TA-925</w:t>
    </w:r>
    <w:r>
      <w:br/>
      <w:t>Izdrukāts 26.06.2025. 08.35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D37"/>
    <w:rsid w:val="00013E95"/>
    <w:rsid w:val="00024C25"/>
    <w:rsid w:val="000A7A2C"/>
    <w:rsid w:val="000D3554"/>
    <w:rsid w:val="00133CEB"/>
    <w:rsid w:val="00142A52"/>
    <w:rsid w:val="001875A1"/>
    <w:rsid w:val="00294987"/>
    <w:rsid w:val="002E7143"/>
    <w:rsid w:val="003534CC"/>
    <w:rsid w:val="003763C2"/>
    <w:rsid w:val="00391303"/>
    <w:rsid w:val="0039764E"/>
    <w:rsid w:val="003C783C"/>
    <w:rsid w:val="003D0F07"/>
    <w:rsid w:val="00464BB7"/>
    <w:rsid w:val="00472B59"/>
    <w:rsid w:val="004A4517"/>
    <w:rsid w:val="004D3E97"/>
    <w:rsid w:val="005000B9"/>
    <w:rsid w:val="00555798"/>
    <w:rsid w:val="00561A00"/>
    <w:rsid w:val="005B7436"/>
    <w:rsid w:val="005E5CCF"/>
    <w:rsid w:val="006330B8"/>
    <w:rsid w:val="00634D87"/>
    <w:rsid w:val="00650DB1"/>
    <w:rsid w:val="00695A58"/>
    <w:rsid w:val="006F0AAD"/>
    <w:rsid w:val="007131C8"/>
    <w:rsid w:val="007260C7"/>
    <w:rsid w:val="00732905"/>
    <w:rsid w:val="007471DA"/>
    <w:rsid w:val="0075169F"/>
    <w:rsid w:val="00776D3E"/>
    <w:rsid w:val="007C3522"/>
    <w:rsid w:val="007D6BFF"/>
    <w:rsid w:val="007E45F7"/>
    <w:rsid w:val="00865930"/>
    <w:rsid w:val="00895C51"/>
    <w:rsid w:val="008E2225"/>
    <w:rsid w:val="0090383E"/>
    <w:rsid w:val="00914D19"/>
    <w:rsid w:val="00933203"/>
    <w:rsid w:val="009C65A0"/>
    <w:rsid w:val="00A11682"/>
    <w:rsid w:val="00A15A25"/>
    <w:rsid w:val="00AA4527"/>
    <w:rsid w:val="00AD6105"/>
    <w:rsid w:val="00B10FC6"/>
    <w:rsid w:val="00B60B7B"/>
    <w:rsid w:val="00BA0D9E"/>
    <w:rsid w:val="00BF0B74"/>
    <w:rsid w:val="00C416C9"/>
    <w:rsid w:val="00C44412"/>
    <w:rsid w:val="00C512CE"/>
    <w:rsid w:val="00C53E10"/>
    <w:rsid w:val="00C60D37"/>
    <w:rsid w:val="00C948CA"/>
    <w:rsid w:val="00CB266E"/>
    <w:rsid w:val="00CB4750"/>
    <w:rsid w:val="00CF6C82"/>
    <w:rsid w:val="00D31FD5"/>
    <w:rsid w:val="00D4315F"/>
    <w:rsid w:val="00D66CAC"/>
    <w:rsid w:val="00D80802"/>
    <w:rsid w:val="00D848AE"/>
    <w:rsid w:val="00DA46BE"/>
    <w:rsid w:val="00DD18F2"/>
    <w:rsid w:val="00E43930"/>
    <w:rsid w:val="00EC2DFC"/>
    <w:rsid w:val="00EE2576"/>
    <w:rsid w:val="00F25F0C"/>
    <w:rsid w:val="00F51E24"/>
    <w:rsid w:val="00F66D37"/>
    <w:rsid w:val="00FA58AF"/>
    <w:rsid w:val="00FD45B5"/>
    <w:rsid w:val="01E7D350"/>
    <w:rsid w:val="0457622F"/>
    <w:rsid w:val="05B2A062"/>
    <w:rsid w:val="07916A3C"/>
    <w:rsid w:val="095C88A1"/>
    <w:rsid w:val="0AF7B0B6"/>
    <w:rsid w:val="0CD35E34"/>
    <w:rsid w:val="0EB6CBD2"/>
    <w:rsid w:val="0F722D6E"/>
    <w:rsid w:val="1209D291"/>
    <w:rsid w:val="157015A1"/>
    <w:rsid w:val="185B1937"/>
    <w:rsid w:val="188351B4"/>
    <w:rsid w:val="18DBA3ED"/>
    <w:rsid w:val="1E28EA97"/>
    <w:rsid w:val="1FBF2231"/>
    <w:rsid w:val="21B1F345"/>
    <w:rsid w:val="24993304"/>
    <w:rsid w:val="24DF0BEF"/>
    <w:rsid w:val="2993D5B2"/>
    <w:rsid w:val="2B210906"/>
    <w:rsid w:val="2E8BBC3D"/>
    <w:rsid w:val="308FDA3A"/>
    <w:rsid w:val="3186A4E0"/>
    <w:rsid w:val="35D30276"/>
    <w:rsid w:val="37E164B4"/>
    <w:rsid w:val="383B862C"/>
    <w:rsid w:val="3B9E95DA"/>
    <w:rsid w:val="3CCD5941"/>
    <w:rsid w:val="3D8B3FCD"/>
    <w:rsid w:val="3E0FB5CE"/>
    <w:rsid w:val="41ACA010"/>
    <w:rsid w:val="4679FDC2"/>
    <w:rsid w:val="482B676C"/>
    <w:rsid w:val="48BECCA4"/>
    <w:rsid w:val="48C9315A"/>
    <w:rsid w:val="49340D0E"/>
    <w:rsid w:val="49BEA7A8"/>
    <w:rsid w:val="4CEB892B"/>
    <w:rsid w:val="516CA2F8"/>
    <w:rsid w:val="58DC6B8E"/>
    <w:rsid w:val="591CAC10"/>
    <w:rsid w:val="5BEEBA07"/>
    <w:rsid w:val="5D69F8DB"/>
    <w:rsid w:val="620B4CD3"/>
    <w:rsid w:val="62CA1B59"/>
    <w:rsid w:val="62FF01F8"/>
    <w:rsid w:val="6307A17D"/>
    <w:rsid w:val="64D46ABC"/>
    <w:rsid w:val="68D5F5BC"/>
    <w:rsid w:val="69DBF2DE"/>
    <w:rsid w:val="6BF7EE45"/>
    <w:rsid w:val="6CB5F0DD"/>
    <w:rsid w:val="6EA85866"/>
    <w:rsid w:val="70B3E416"/>
    <w:rsid w:val="739CECB6"/>
    <w:rsid w:val="747A2901"/>
    <w:rsid w:val="782F5BC1"/>
    <w:rsid w:val="7A809049"/>
    <w:rsid w:val="7A9F97D0"/>
    <w:rsid w:val="7B6259C8"/>
    <w:rsid w:val="7C427545"/>
    <w:rsid w:val="7D72BCD3"/>
    <w:rsid w:val="7F4731B5"/>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D95D3"/>
  <w15:docId w15:val="{25541385-1A24-4158-B694-D84405789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634D87"/>
    <w:rPr>
      <w:color w:val="467886" w:themeColor="hyperlink"/>
      <w:u w:val="single"/>
    </w:rPr>
  </w:style>
  <w:style w:type="character" w:styleId="UnresolvedMention">
    <w:name w:val="Unresolved Mention"/>
    <w:basedOn w:val="DefaultParagraphFont"/>
    <w:uiPriority w:val="99"/>
    <w:semiHidden/>
    <w:unhideWhenUsed/>
    <w:rsid w:val="00634D87"/>
    <w:rPr>
      <w:color w:val="605E5C"/>
      <w:shd w:val="clear" w:color="auto" w:fill="E1DFDD"/>
    </w:rPr>
  </w:style>
  <w:style w:type="paragraph" w:styleId="FootnoteText">
    <w:name w:val="footnote text"/>
    <w:basedOn w:val="Normal"/>
    <w:link w:val="FootnoteTextChar"/>
    <w:uiPriority w:val="99"/>
    <w:semiHidden/>
    <w:unhideWhenUsed/>
    <w:rsid w:val="00E43930"/>
    <w:rPr>
      <w:sz w:val="20"/>
    </w:rPr>
  </w:style>
  <w:style w:type="character" w:customStyle="1" w:styleId="FootnoteTextChar">
    <w:name w:val="Footnote Text Char"/>
    <w:basedOn w:val="DefaultParagraphFont"/>
    <w:link w:val="FootnoteText"/>
    <w:uiPriority w:val="99"/>
    <w:semiHidden/>
    <w:rsid w:val="00E43930"/>
    <w:rPr>
      <w:sz w:val="20"/>
    </w:rPr>
  </w:style>
  <w:style w:type="character" w:styleId="FootnoteReference">
    <w:name w:val="footnote reference"/>
    <w:basedOn w:val="DefaultParagraphFont"/>
    <w:uiPriority w:val="99"/>
    <w:semiHidden/>
    <w:unhideWhenUsed/>
    <w:rsid w:val="00E439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532423">
      <w:bodyDiv w:val="1"/>
      <w:marLeft w:val="0"/>
      <w:marRight w:val="0"/>
      <w:marTop w:val="0"/>
      <w:marBottom w:val="0"/>
      <w:divBdr>
        <w:top w:val="none" w:sz="0" w:space="0" w:color="auto"/>
        <w:left w:val="none" w:sz="0" w:space="0" w:color="auto"/>
        <w:bottom w:val="none" w:sz="0" w:space="0" w:color="auto"/>
        <w:right w:val="none" w:sz="0" w:space="0" w:color="auto"/>
      </w:divBdr>
    </w:div>
    <w:div w:id="19205596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ino.knab.gov.lv/"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Normal</Template>
  <TotalTime>63</TotalTime>
  <Pages>20</Pages>
  <Words>12765</Words>
  <Characters>7277</Characters>
  <Application>Microsoft Office Word</Application>
  <DocSecurity>0</DocSecurity>
  <Lines>60</Lines>
  <Paragraphs>40</Paragraphs>
  <ScaleCrop>false</ScaleCrop>
  <HeadingPairs>
    <vt:vector size="2" baseType="variant">
      <vt:variant>
        <vt:lpstr>Title</vt:lpstr>
      </vt:variant>
      <vt:variant>
        <vt:i4>1</vt:i4>
      </vt:variant>
    </vt:vector>
  </HeadingPairs>
  <TitlesOfParts>
    <vt:vector size="1" baseType="lpstr">
      <vt:lpstr>viedoklu_parskats_25-TA-925.docx</vt:lpstr>
    </vt:vector>
  </TitlesOfParts>
  <Company>Valsts kanceleja</Company>
  <LinksUpToDate>false</LinksUpToDate>
  <CharactersWithSpaces>20002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viedoklu_parskats_25-TA-925.docx</dc:title>
  <dc:creator>Kristīne Stone</dc:creator>
  <cp:lastModifiedBy>Kristīne Stone</cp:lastModifiedBy>
  <cp:revision>32</cp:revision>
  <dcterms:created xsi:type="dcterms:W3CDTF">2025-06-27T09:33:00Z</dcterms:created>
  <dcterms:modified xsi:type="dcterms:W3CDTF">2025-06-27T11:37:00Z</dcterms:modified>
</cp:coreProperties>
</file>