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E8CC" w14:textId="5828CAF5" w:rsidR="007D5297" w:rsidRPr="007D5297" w:rsidRDefault="6751AA8C" w:rsidP="007D5297">
      <w:pPr>
        <w:spacing w:after="240"/>
        <w:jc w:val="center"/>
        <w:rPr>
          <w:b/>
          <w:bCs/>
        </w:rPr>
      </w:pPr>
      <w:r w:rsidRPr="64CA8AC4">
        <w:rPr>
          <w:b/>
          <w:bCs/>
        </w:rPr>
        <w:t>Apkopojums p</w:t>
      </w:r>
      <w:r w:rsidR="007D5297" w:rsidRPr="64CA8AC4">
        <w:rPr>
          <w:b/>
          <w:bCs/>
        </w:rPr>
        <w:t>ar</w:t>
      </w:r>
      <w:r w:rsidR="007D5297" w:rsidRPr="007D5297">
        <w:rPr>
          <w:b/>
          <w:bCs/>
        </w:rPr>
        <w:t xml:space="preserve"> Datu pārvaldības stratēģiju 2026. - 2030. gadam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695"/>
        <w:gridCol w:w="3110"/>
        <w:gridCol w:w="4056"/>
        <w:gridCol w:w="1650"/>
        <w:gridCol w:w="4056"/>
      </w:tblGrid>
      <w:tr w:rsidR="00260A3B" w:rsidRPr="001B2C8F" w14:paraId="3C8867C5" w14:textId="77777777" w:rsidTr="0009675F">
        <w:trPr>
          <w:tblHeader/>
        </w:trPr>
        <w:tc>
          <w:tcPr>
            <w:tcW w:w="1695" w:type="dxa"/>
            <w:shd w:val="clear" w:color="auto" w:fill="FFFFFF"/>
            <w:noWrap/>
            <w:tcMar>
              <w:top w:w="75" w:type="dxa"/>
              <w:left w:w="75" w:type="dxa"/>
              <w:bottom w:w="75" w:type="dxa"/>
              <w:right w:w="75" w:type="dxa"/>
            </w:tcMar>
            <w:vAlign w:val="center"/>
          </w:tcPr>
          <w:p w14:paraId="19CECDE5" w14:textId="2E98FE8B" w:rsidR="00260A3B" w:rsidRPr="001B2C8F" w:rsidRDefault="009641E2">
            <w:pPr>
              <w:jc w:val="center"/>
              <w:rPr>
                <w:rFonts w:asciiTheme="majorBidi" w:hAnsiTheme="majorBidi" w:cstheme="majorBidi"/>
                <w:sz w:val="20"/>
              </w:rPr>
            </w:pPr>
            <w:r w:rsidRPr="001B2C8F">
              <w:rPr>
                <w:rFonts w:asciiTheme="majorBidi" w:hAnsiTheme="majorBidi" w:cstheme="majorBidi"/>
                <w:sz w:val="20"/>
              </w:rPr>
              <w:t>ID</w:t>
            </w:r>
          </w:p>
        </w:tc>
        <w:tc>
          <w:tcPr>
            <w:tcW w:w="3110" w:type="dxa"/>
            <w:shd w:val="clear" w:color="auto" w:fill="FFFFFF"/>
            <w:noWrap/>
            <w:tcMar>
              <w:top w:w="75" w:type="dxa"/>
              <w:left w:w="75" w:type="dxa"/>
              <w:bottom w:w="75" w:type="dxa"/>
              <w:right w:w="75" w:type="dxa"/>
            </w:tcMar>
            <w:vAlign w:val="center"/>
          </w:tcPr>
          <w:p w14:paraId="2DBD8A8E" w14:textId="77777777" w:rsidR="00260A3B" w:rsidRPr="001B2C8F" w:rsidRDefault="00632DC2">
            <w:pPr>
              <w:jc w:val="center"/>
              <w:rPr>
                <w:rFonts w:asciiTheme="majorBidi" w:hAnsiTheme="majorBidi" w:cstheme="majorBidi"/>
                <w:sz w:val="20"/>
              </w:rPr>
            </w:pPr>
            <w:r w:rsidRPr="001B2C8F">
              <w:rPr>
                <w:rFonts w:asciiTheme="majorBidi" w:hAnsiTheme="majorBidi" w:cstheme="majorBidi"/>
                <w:b/>
                <w:sz w:val="20"/>
              </w:rPr>
              <w:t>Viedokļa / priekšlikuma / iebilduma iesniedzējs*</w:t>
            </w:r>
          </w:p>
        </w:tc>
        <w:tc>
          <w:tcPr>
            <w:tcW w:w="4056" w:type="dxa"/>
            <w:shd w:val="clear" w:color="auto" w:fill="FFFFFF"/>
            <w:noWrap/>
            <w:tcMar>
              <w:top w:w="75" w:type="dxa"/>
              <w:left w:w="75" w:type="dxa"/>
              <w:bottom w:w="75" w:type="dxa"/>
              <w:right w:w="75" w:type="dxa"/>
            </w:tcMar>
            <w:vAlign w:val="center"/>
          </w:tcPr>
          <w:p w14:paraId="5B79448C" w14:textId="77777777" w:rsidR="00260A3B" w:rsidRPr="001B2C8F" w:rsidRDefault="00632DC2">
            <w:pPr>
              <w:jc w:val="center"/>
              <w:rPr>
                <w:rFonts w:asciiTheme="majorBidi" w:hAnsiTheme="majorBidi" w:cstheme="majorBidi"/>
                <w:sz w:val="20"/>
              </w:rPr>
            </w:pPr>
            <w:r w:rsidRPr="001B2C8F">
              <w:rPr>
                <w:rFonts w:asciiTheme="majorBidi" w:hAnsiTheme="majorBidi" w:cstheme="majorBidi"/>
                <w:b/>
                <w:sz w:val="20"/>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6479C54" w14:textId="77777777" w:rsidR="00260A3B" w:rsidRPr="001B2C8F" w:rsidRDefault="00632DC2">
            <w:pPr>
              <w:jc w:val="center"/>
              <w:rPr>
                <w:rFonts w:asciiTheme="majorBidi" w:hAnsiTheme="majorBidi" w:cstheme="majorBidi"/>
                <w:sz w:val="20"/>
              </w:rPr>
            </w:pPr>
            <w:r w:rsidRPr="001B2C8F">
              <w:rPr>
                <w:rFonts w:asciiTheme="majorBidi" w:hAnsiTheme="majorBidi" w:cstheme="majorBidi"/>
                <w:b/>
                <w:sz w:val="20"/>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4452AD2" w14:textId="77777777" w:rsidR="00260A3B" w:rsidRPr="001B2C8F" w:rsidRDefault="00632DC2">
            <w:pPr>
              <w:jc w:val="center"/>
              <w:rPr>
                <w:rFonts w:asciiTheme="majorBidi" w:hAnsiTheme="majorBidi" w:cstheme="majorBidi"/>
                <w:sz w:val="20"/>
              </w:rPr>
            </w:pPr>
            <w:r w:rsidRPr="001B2C8F">
              <w:rPr>
                <w:rFonts w:asciiTheme="majorBidi" w:hAnsiTheme="majorBidi" w:cstheme="majorBidi"/>
                <w:b/>
                <w:sz w:val="20"/>
              </w:rPr>
              <w:t>Skaidrojums, kādā veidā viedoklis / priekšlikums / iebildums ir ņemts vērā vai ņemts vērā daļēji, vai pamatojums, ja viedoklis / priekšlikums / iebildums nav ņemts vērā</w:t>
            </w:r>
          </w:p>
        </w:tc>
      </w:tr>
      <w:tr w:rsidR="00D56FFC" w:rsidRPr="001B2C8F" w14:paraId="4A0CF894" w14:textId="77777777" w:rsidTr="00F140DC">
        <w:tc>
          <w:tcPr>
            <w:tcW w:w="1695" w:type="dxa"/>
            <w:shd w:val="clear" w:color="auto" w:fill="FFFFFF"/>
            <w:noWrap/>
            <w:tcMar>
              <w:top w:w="75" w:type="dxa"/>
              <w:left w:w="75" w:type="dxa"/>
              <w:bottom w:w="75" w:type="dxa"/>
              <w:right w:w="75" w:type="dxa"/>
            </w:tcMar>
            <w:vAlign w:val="center"/>
          </w:tcPr>
          <w:p w14:paraId="6905C25B" w14:textId="77777777" w:rsidR="009641E2" w:rsidRPr="001B2C8F" w:rsidRDefault="009641E2" w:rsidP="009641E2">
            <w:pPr>
              <w:jc w:val="center"/>
              <w:rPr>
                <w:rFonts w:asciiTheme="majorBidi" w:hAnsiTheme="majorBidi" w:cstheme="majorBidi"/>
                <w:sz w:val="20"/>
              </w:rPr>
            </w:pPr>
            <w:r w:rsidRPr="001B2C8F">
              <w:rPr>
                <w:rFonts w:asciiTheme="majorBidi" w:hAnsiTheme="majorBidi" w:cstheme="majorBidi"/>
                <w:sz w:val="20"/>
              </w:rPr>
              <w:t>26-TA-347/1</w:t>
            </w:r>
          </w:p>
          <w:p w14:paraId="3E255C0E" w14:textId="77777777" w:rsidR="00D56FFC" w:rsidRPr="001B2C8F" w:rsidRDefault="00D56FFC">
            <w:pPr>
              <w:jc w:val="center"/>
              <w:rPr>
                <w:rFonts w:asciiTheme="majorBidi" w:hAnsiTheme="majorBidi" w:cstheme="majorBidi"/>
                <w:sz w:val="20"/>
              </w:rPr>
            </w:pPr>
          </w:p>
        </w:tc>
        <w:tc>
          <w:tcPr>
            <w:tcW w:w="3110" w:type="dxa"/>
            <w:shd w:val="clear" w:color="auto" w:fill="FFFFFF"/>
            <w:noWrap/>
            <w:tcMar>
              <w:top w:w="75" w:type="dxa"/>
              <w:left w:w="75" w:type="dxa"/>
              <w:bottom w:w="75" w:type="dxa"/>
              <w:right w:w="75" w:type="dxa"/>
            </w:tcMar>
            <w:vAlign w:val="center"/>
          </w:tcPr>
          <w:p w14:paraId="77F6489B" w14:textId="77777777" w:rsidR="00F140DC" w:rsidRPr="001B2C8F" w:rsidRDefault="00F140DC" w:rsidP="00F140DC">
            <w:pPr>
              <w:jc w:val="left"/>
              <w:rPr>
                <w:rFonts w:asciiTheme="majorBidi" w:hAnsiTheme="majorBidi" w:cstheme="majorBidi"/>
                <w:sz w:val="20"/>
              </w:rPr>
            </w:pPr>
            <w:r w:rsidRPr="001B2C8F">
              <w:rPr>
                <w:rFonts w:asciiTheme="majorBidi" w:hAnsiTheme="majorBidi" w:cstheme="majorBidi"/>
                <w:sz w:val="20"/>
              </w:rPr>
              <w:t>iedzīvotāji, maģistranti, pētnieki</w:t>
            </w:r>
          </w:p>
          <w:p w14:paraId="3A4961D9" w14:textId="77777777" w:rsidR="00D56FFC" w:rsidRPr="001B2C8F" w:rsidRDefault="00D56FFC">
            <w:pPr>
              <w:jc w:val="left"/>
              <w:rPr>
                <w:rFonts w:asciiTheme="majorBidi" w:hAnsiTheme="majorBidi" w:cstheme="majorBidi"/>
                <w:sz w:val="20"/>
              </w:rPr>
            </w:pPr>
          </w:p>
        </w:tc>
        <w:tc>
          <w:tcPr>
            <w:tcW w:w="4056" w:type="dxa"/>
            <w:shd w:val="clear" w:color="auto" w:fill="FFFFFF"/>
            <w:noWrap/>
            <w:tcMar>
              <w:top w:w="75" w:type="dxa"/>
              <w:left w:w="75" w:type="dxa"/>
              <w:bottom w:w="75" w:type="dxa"/>
              <w:right w:w="75" w:type="dxa"/>
            </w:tcMar>
            <w:vAlign w:val="center"/>
          </w:tcPr>
          <w:p w14:paraId="2C3B96BA" w14:textId="5C01387B" w:rsidR="00D56FFC" w:rsidRPr="001B2C8F" w:rsidRDefault="00753904" w:rsidP="00753904">
            <w:pPr>
              <w:jc w:val="left"/>
              <w:rPr>
                <w:rFonts w:asciiTheme="majorBidi" w:hAnsiTheme="majorBidi" w:cstheme="majorBidi"/>
                <w:sz w:val="20"/>
              </w:rPr>
            </w:pPr>
            <w:r w:rsidRPr="001B2C8F">
              <w:rPr>
                <w:rFonts w:asciiTheme="majorBidi" w:hAnsiTheme="majorBidi" w:cstheme="majorBidi"/>
                <w:sz w:val="20"/>
              </w:rPr>
              <w:t>Priekšlikums, atsaucoties uz vienu no pamatprincipiem, kas norādīts</w:t>
            </w:r>
            <w:r w:rsidRPr="001B2C8F">
              <w:rPr>
                <w:rFonts w:asciiTheme="majorBidi" w:hAnsiTheme="majorBidi" w:cstheme="majorBidi"/>
                <w:b/>
                <w:bCs/>
                <w:sz w:val="20"/>
              </w:rPr>
              <w:t> Datu pārvaldības stratēģija 2026. - 2030. gadam dokumenta 3lpp</w:t>
            </w:r>
            <w:r w:rsidRPr="001B2C8F">
              <w:rPr>
                <w:rFonts w:asciiTheme="majorBidi" w:hAnsiTheme="majorBidi" w:cstheme="majorBidi"/>
                <w:sz w:val="20"/>
              </w:rPr>
              <w:t>:</w:t>
            </w:r>
            <w:r w:rsidRPr="001B2C8F">
              <w:rPr>
                <w:rFonts w:asciiTheme="majorBidi" w:hAnsiTheme="majorBidi" w:cstheme="majorBidi"/>
                <w:sz w:val="20"/>
              </w:rPr>
              <w:br/>
            </w:r>
            <w:r w:rsidRPr="001B2C8F">
              <w:rPr>
                <w:rFonts w:asciiTheme="majorBidi" w:hAnsiTheme="majorBidi" w:cstheme="majorBidi"/>
                <w:b/>
                <w:bCs/>
                <w:i/>
                <w:iCs/>
                <w:sz w:val="20"/>
              </w:rPr>
              <w:t>Prasīt tikai vienreiz un minimāli (</w:t>
            </w:r>
            <w:proofErr w:type="spellStart"/>
            <w:r w:rsidRPr="001B2C8F">
              <w:rPr>
                <w:rFonts w:asciiTheme="majorBidi" w:hAnsiTheme="majorBidi" w:cstheme="majorBidi"/>
                <w:b/>
                <w:bCs/>
                <w:i/>
                <w:iCs/>
                <w:sz w:val="20"/>
              </w:rPr>
              <w:t>Once</w:t>
            </w:r>
            <w:proofErr w:type="spellEnd"/>
            <w:r w:rsidRPr="001B2C8F">
              <w:rPr>
                <w:rFonts w:asciiTheme="majorBidi" w:hAnsiTheme="majorBidi" w:cstheme="majorBidi"/>
                <w:b/>
                <w:bCs/>
                <w:i/>
                <w:iCs/>
                <w:sz w:val="20"/>
              </w:rPr>
              <w:t xml:space="preserve"> </w:t>
            </w:r>
            <w:proofErr w:type="spellStart"/>
            <w:r w:rsidRPr="001B2C8F">
              <w:rPr>
                <w:rFonts w:asciiTheme="majorBidi" w:hAnsiTheme="majorBidi" w:cstheme="majorBidi"/>
                <w:b/>
                <w:bCs/>
                <w:i/>
                <w:iCs/>
                <w:sz w:val="20"/>
              </w:rPr>
              <w:t>Only</w:t>
            </w:r>
            <w:proofErr w:type="spellEnd"/>
            <w:r w:rsidRPr="001B2C8F">
              <w:rPr>
                <w:rFonts w:asciiTheme="majorBidi" w:hAnsiTheme="majorBidi" w:cstheme="majorBidi"/>
                <w:b/>
                <w:bCs/>
                <w:i/>
                <w:iCs/>
                <w:sz w:val="20"/>
              </w:rPr>
              <w:t>) </w:t>
            </w:r>
            <w:r w:rsidRPr="001B2C8F">
              <w:rPr>
                <w:rFonts w:asciiTheme="majorBidi" w:hAnsiTheme="majorBidi" w:cstheme="majorBidi"/>
                <w:i/>
                <w:iCs/>
                <w:sz w:val="20"/>
              </w:rPr>
              <w:t>- Publiskie pakalpojumi tiek veidoti tā, lai iedzīvotājiem un uzņēmumiem būtu nepieciešams iesniegt informāciju tikai vienu reizi. Jebkura papildu informācija tiek pieprasīta tikai tad, ja tā nav pieejama citos avotos. Prasītā informācija tiek samazināta līdz minimumam, ņemot vērā nepieciešamību pēc efektivitātes un lietotāju ērtībām.</w:t>
            </w:r>
            <w:r w:rsidRPr="001B2C8F">
              <w:rPr>
                <w:rFonts w:asciiTheme="majorBidi" w:hAnsiTheme="majorBidi" w:cstheme="majorBidi"/>
                <w:sz w:val="20"/>
              </w:rPr>
              <w:br/>
              <w:t>Būtu vēlams šeit paredzēt, ka viena iestāde nosaka savas vajadzības kā lietotājs, bet citas ministrijas iestādei ir nepieciešami papildus rādītāji un dati, lai izmantotu šos datus atkārtoti cita veida lēmumu pieņemšanas procesā.</w:t>
            </w:r>
            <w:r w:rsidRPr="001B2C8F">
              <w:rPr>
                <w:rFonts w:asciiTheme="majorBidi" w:hAnsiTheme="majorBidi" w:cstheme="majorBidi"/>
                <w:sz w:val="20"/>
              </w:rPr>
              <w:br/>
              <w:t>Pētījumos arī ir minēts, ka dati, ko izmanto viena iestāde, ne vienmēr ir pietiekoši, lai tos izmantotu cita iestāde. I</w:t>
            </w:r>
            <w:r w:rsidRPr="001B2C8F">
              <w:rPr>
                <w:rFonts w:asciiTheme="majorBidi" w:hAnsiTheme="majorBidi" w:cstheme="majorBidi"/>
                <w:b/>
                <w:bCs/>
                <w:i/>
                <w:iCs/>
                <w:sz w:val="20"/>
              </w:rPr>
              <w:t>erosinājums, ir maksimāli paredzēt visus iespējamos "datu lietotājus" no publiskās pārvaldes puses un paredzēt visus nepieciešamos kritērijus un rādītājus, t.i. informāciju, kuru varētu izmantot pēc iespējas plašāks lietotāju loks dažādos lēmumu pieņemšanas moduļos. </w:t>
            </w:r>
          </w:p>
        </w:tc>
        <w:tc>
          <w:tcPr>
            <w:tcW w:w="1650" w:type="dxa"/>
            <w:shd w:val="clear" w:color="auto" w:fill="FFFFFF"/>
            <w:noWrap/>
            <w:tcMar>
              <w:top w:w="75" w:type="dxa"/>
              <w:left w:w="75" w:type="dxa"/>
              <w:bottom w:w="75" w:type="dxa"/>
              <w:right w:w="75" w:type="dxa"/>
            </w:tcMar>
            <w:vAlign w:val="center"/>
          </w:tcPr>
          <w:p w14:paraId="05122FB2" w14:textId="3DC396A4" w:rsidR="00D56FFC" w:rsidRPr="001B2C8F" w:rsidRDefault="00C40544">
            <w:pPr>
              <w:jc w:val="left"/>
              <w:rPr>
                <w:rFonts w:asciiTheme="majorBidi" w:hAnsiTheme="majorBidi" w:cstheme="majorBidi"/>
                <w:b/>
                <w:bCs/>
                <w:sz w:val="20"/>
              </w:rPr>
            </w:pPr>
            <w:r w:rsidRPr="001B2C8F">
              <w:rPr>
                <w:rFonts w:asciiTheme="majorBidi" w:hAnsiTheme="majorBidi" w:cstheme="majorBidi"/>
                <w:b/>
                <w:bCs/>
                <w:sz w:val="20"/>
              </w:rPr>
              <w:t>Nav ņemts vērā</w:t>
            </w:r>
          </w:p>
        </w:tc>
        <w:tc>
          <w:tcPr>
            <w:tcW w:w="4056" w:type="dxa"/>
            <w:shd w:val="clear" w:color="auto" w:fill="FFFFFF"/>
            <w:noWrap/>
            <w:tcMar>
              <w:top w:w="75" w:type="dxa"/>
              <w:left w:w="75" w:type="dxa"/>
              <w:bottom w:w="75" w:type="dxa"/>
              <w:right w:w="75" w:type="dxa"/>
            </w:tcMar>
            <w:vAlign w:val="center"/>
          </w:tcPr>
          <w:p w14:paraId="3A0E09D2" w14:textId="77777777" w:rsidR="00E3798F" w:rsidRPr="001B2C8F" w:rsidRDefault="00E3798F" w:rsidP="00E3798F">
            <w:pPr>
              <w:jc w:val="left"/>
              <w:rPr>
                <w:rFonts w:asciiTheme="majorBidi" w:hAnsiTheme="majorBidi" w:cstheme="majorBidi"/>
                <w:sz w:val="20"/>
              </w:rPr>
            </w:pPr>
            <w:proofErr w:type="spellStart"/>
            <w:r w:rsidRPr="001B2C8F">
              <w:rPr>
                <w:rFonts w:asciiTheme="majorBidi" w:hAnsiTheme="majorBidi" w:cstheme="majorBidi"/>
                <w:sz w:val="20"/>
              </w:rPr>
              <w:t>Vienreizes</w:t>
            </w:r>
            <w:proofErr w:type="spellEnd"/>
            <w:r w:rsidRPr="001B2C8F">
              <w:rPr>
                <w:rFonts w:asciiTheme="majorBidi" w:hAnsiTheme="majorBidi" w:cstheme="majorBidi"/>
                <w:sz w:val="20"/>
              </w:rPr>
              <w:t xml:space="preserve"> princips paredz, ka iestādes pakalpojumu sniegšanai nepieciešamo informāciju primāri iegūst no citām iestādēm, nevis pieprasa to no iedzīvotājiem vai uzņēmējiem. Stratēģijā tā ieviešanai paredzēta DAGR platformas </w:t>
            </w:r>
            <w:proofErr w:type="spellStart"/>
            <w:r w:rsidRPr="001B2C8F">
              <w:rPr>
                <w:rFonts w:asciiTheme="majorBidi" w:hAnsiTheme="majorBidi" w:cstheme="majorBidi"/>
                <w:sz w:val="20"/>
              </w:rPr>
              <w:t>pieslēgumu</w:t>
            </w:r>
            <w:proofErr w:type="spellEnd"/>
            <w:r w:rsidRPr="001B2C8F">
              <w:rPr>
                <w:rFonts w:asciiTheme="majorBidi" w:hAnsiTheme="majorBidi" w:cstheme="majorBidi"/>
                <w:sz w:val="20"/>
              </w:rPr>
              <w:t xml:space="preserve"> plāna izstrāde un vienas pieturas aģentūras principa īstenošana valsts datu pieejamībai līdz 2030. gadam.</w:t>
            </w:r>
          </w:p>
          <w:p w14:paraId="479B9BD9" w14:textId="77777777" w:rsidR="00E3798F" w:rsidRPr="001B2C8F" w:rsidRDefault="00E3798F" w:rsidP="00E3798F">
            <w:pPr>
              <w:jc w:val="left"/>
              <w:rPr>
                <w:rFonts w:asciiTheme="majorBidi" w:hAnsiTheme="majorBidi" w:cstheme="majorBidi"/>
                <w:sz w:val="20"/>
              </w:rPr>
            </w:pPr>
            <w:r w:rsidRPr="001B2C8F">
              <w:rPr>
                <w:rFonts w:asciiTheme="majorBidi" w:hAnsiTheme="majorBidi" w:cstheme="majorBidi"/>
                <w:sz w:val="20"/>
              </w:rPr>
              <w:t>Valsts pārvaldes iestādes datus apstrādā tikai savu funkciju un pakalpojumu nodrošināšanai nepieciešamajā apjomā, tādēļ nav paredzēta datu vākšana citu iestāžu potenciālajām vajadzībām. Izņēmumi attiecas uz normatīvajos aktos noteiktām institūcijām, kurām piešķirta plašāka datu piekļuve.</w:t>
            </w:r>
          </w:p>
          <w:p w14:paraId="25BC7624" w14:textId="5F577AC7" w:rsidR="00D56FFC" w:rsidRPr="001B2C8F" w:rsidRDefault="00D56FFC">
            <w:pPr>
              <w:jc w:val="left"/>
              <w:rPr>
                <w:rFonts w:asciiTheme="majorBidi" w:hAnsiTheme="majorBidi" w:cstheme="majorBidi"/>
                <w:sz w:val="20"/>
              </w:rPr>
            </w:pPr>
          </w:p>
        </w:tc>
      </w:tr>
      <w:tr w:rsidR="00D56FFC" w:rsidRPr="001B2C8F" w14:paraId="2A60C049" w14:textId="77777777" w:rsidTr="00F140DC">
        <w:tc>
          <w:tcPr>
            <w:tcW w:w="1695" w:type="dxa"/>
            <w:shd w:val="clear" w:color="auto" w:fill="FFFFFF"/>
            <w:noWrap/>
            <w:tcMar>
              <w:top w:w="75" w:type="dxa"/>
              <w:left w:w="75" w:type="dxa"/>
              <w:bottom w:w="75" w:type="dxa"/>
              <w:right w:w="75" w:type="dxa"/>
            </w:tcMar>
            <w:vAlign w:val="center"/>
          </w:tcPr>
          <w:p w14:paraId="6EA913C3" w14:textId="4B059779" w:rsidR="00D56FFC" w:rsidRPr="001B2C8F" w:rsidRDefault="0009675F" w:rsidP="0009675F">
            <w:pPr>
              <w:jc w:val="center"/>
              <w:rPr>
                <w:rFonts w:asciiTheme="majorBidi" w:hAnsiTheme="majorBidi" w:cstheme="majorBidi"/>
                <w:sz w:val="20"/>
              </w:rPr>
            </w:pPr>
            <w:r w:rsidRPr="001B2C8F">
              <w:rPr>
                <w:rFonts w:asciiTheme="majorBidi" w:hAnsiTheme="majorBidi" w:cstheme="majorBidi"/>
                <w:sz w:val="20"/>
              </w:rPr>
              <w:t>26-TA-347/2</w:t>
            </w:r>
          </w:p>
        </w:tc>
        <w:tc>
          <w:tcPr>
            <w:tcW w:w="3110" w:type="dxa"/>
            <w:shd w:val="clear" w:color="auto" w:fill="FFFFFF"/>
            <w:noWrap/>
            <w:tcMar>
              <w:top w:w="75" w:type="dxa"/>
              <w:left w:w="75" w:type="dxa"/>
              <w:bottom w:w="75" w:type="dxa"/>
              <w:right w:w="75" w:type="dxa"/>
            </w:tcMar>
            <w:vAlign w:val="center"/>
          </w:tcPr>
          <w:p w14:paraId="67682369" w14:textId="0FAD9B3B" w:rsidR="00D56FFC" w:rsidRPr="001B2C8F" w:rsidRDefault="00BB61D4">
            <w:pPr>
              <w:jc w:val="left"/>
              <w:rPr>
                <w:rFonts w:asciiTheme="majorBidi" w:hAnsiTheme="majorBidi" w:cstheme="majorBidi"/>
                <w:sz w:val="20"/>
              </w:rPr>
            </w:pPr>
            <w:r w:rsidRPr="001B2C8F">
              <w:rPr>
                <w:rFonts w:asciiTheme="majorBidi" w:hAnsiTheme="majorBidi" w:cstheme="majorBidi"/>
                <w:sz w:val="20"/>
              </w:rPr>
              <w:t>iedzīvotāji, uzņēmumi, pētnieki</w:t>
            </w:r>
          </w:p>
        </w:tc>
        <w:tc>
          <w:tcPr>
            <w:tcW w:w="4056" w:type="dxa"/>
            <w:shd w:val="clear" w:color="auto" w:fill="FFFFFF"/>
            <w:noWrap/>
            <w:tcMar>
              <w:top w:w="75" w:type="dxa"/>
              <w:left w:w="75" w:type="dxa"/>
              <w:bottom w:w="75" w:type="dxa"/>
              <w:right w:w="75" w:type="dxa"/>
            </w:tcMar>
            <w:vAlign w:val="center"/>
          </w:tcPr>
          <w:p w14:paraId="212371DA" w14:textId="7255F45F" w:rsidR="00D56FFC" w:rsidRPr="001B2C8F" w:rsidRDefault="006758D6" w:rsidP="006758D6">
            <w:pPr>
              <w:jc w:val="left"/>
              <w:rPr>
                <w:rFonts w:asciiTheme="majorBidi" w:hAnsiTheme="majorBidi" w:cstheme="majorBidi"/>
                <w:sz w:val="20"/>
              </w:rPr>
            </w:pPr>
            <w:r w:rsidRPr="001B2C8F">
              <w:rPr>
                <w:rFonts w:asciiTheme="majorBidi" w:hAnsiTheme="majorBidi" w:cstheme="majorBidi"/>
                <w:b/>
                <w:bCs/>
                <w:sz w:val="20"/>
              </w:rPr>
              <w:t>Kompetenču attīstība MI jomā nesatur diferencētu pieeju dažādiem darbinieku līmeņiem</w:t>
            </w:r>
            <w:r w:rsidRPr="001B2C8F">
              <w:rPr>
                <w:rFonts w:asciiTheme="majorBidi" w:hAnsiTheme="majorBidi" w:cstheme="majorBidi"/>
                <w:sz w:val="20"/>
              </w:rPr>
              <w:br/>
            </w:r>
            <w:r w:rsidRPr="001B2C8F">
              <w:rPr>
                <w:rFonts w:asciiTheme="majorBidi" w:hAnsiTheme="majorBidi" w:cstheme="majorBidi"/>
                <w:b/>
                <w:bCs/>
                <w:sz w:val="20"/>
              </w:rPr>
              <w:lastRenderedPageBreak/>
              <w:t>Iebildums / trūkums</w:t>
            </w:r>
            <w:r w:rsidRPr="001B2C8F">
              <w:rPr>
                <w:rFonts w:asciiTheme="majorBidi" w:hAnsiTheme="majorBidi" w:cstheme="majorBidi"/>
                <w:sz w:val="20"/>
              </w:rPr>
              <w:br/>
              <w:t>4. Rīcības virziena "Digitālās prasmes" MI komponente ir nespecifiska: nav nošķirtas vispārīgās digitālās prasmes no specializētajām MI prasmēm, nav paredzēta atšķirīga pieeja vadītājiem, analītiķiem un MI izstrādātājiem. Stratēģijā citētais OECD ziņojums (2024) tieši norāda uz šo problēmu — taču stratēģija šo atziņu konstatē, bet nenovērš.</w:t>
            </w:r>
            <w:r w:rsidRPr="001B2C8F">
              <w:rPr>
                <w:rFonts w:asciiTheme="majorBidi" w:hAnsiTheme="majorBidi" w:cstheme="majorBidi"/>
                <w:sz w:val="20"/>
              </w:rPr>
              <w:br/>
              <w:t>Rādītājs — 30% iestāžu ar datu pārvaldības kompetenci līdz 2028. gadam — neatspoguļo MI prasmju klātbūtni vai kvalitāti, tikai formālu kompetenču struktūru.</w:t>
            </w:r>
            <w:r w:rsidRPr="001B2C8F">
              <w:rPr>
                <w:rFonts w:asciiTheme="majorBidi" w:hAnsiTheme="majorBidi" w:cstheme="majorBidi"/>
                <w:sz w:val="20"/>
              </w:rPr>
              <w:br/>
            </w:r>
            <w:r w:rsidRPr="001B2C8F">
              <w:rPr>
                <w:rFonts w:asciiTheme="majorBidi" w:hAnsiTheme="majorBidi" w:cstheme="majorBidi"/>
                <w:sz w:val="20"/>
              </w:rPr>
              <w:br/>
            </w:r>
            <w:r w:rsidRPr="00CC2BA6">
              <w:rPr>
                <w:rFonts w:asciiTheme="majorBidi" w:hAnsiTheme="majorBidi" w:cstheme="majorBidi"/>
                <w:b/>
                <w:bCs/>
                <w:sz w:val="20"/>
              </w:rPr>
              <w:t>Ierosinājums / priekšlikums</w:t>
            </w:r>
            <w:r w:rsidRPr="00CC2BA6">
              <w:rPr>
                <w:rFonts w:asciiTheme="majorBidi" w:hAnsiTheme="majorBidi" w:cstheme="majorBidi"/>
                <w:sz w:val="20"/>
              </w:rPr>
              <w:br/>
              <w:t>Jāparedz trīs līmeņu MI kompetenču ietvars ar atšķirīgiem mērķiem un atbildīgajiem:</w:t>
            </w:r>
            <w:r w:rsidRPr="00CC2BA6">
              <w:rPr>
                <w:rFonts w:asciiTheme="majorBidi" w:hAnsiTheme="majorBidi" w:cstheme="majorBidi"/>
                <w:sz w:val="20"/>
              </w:rPr>
              <w:br/>
              <w:t xml:space="preserve">(1) MI </w:t>
            </w:r>
            <w:proofErr w:type="spellStart"/>
            <w:r w:rsidRPr="00CC2BA6">
              <w:rPr>
                <w:rFonts w:asciiTheme="majorBidi" w:hAnsiTheme="majorBidi" w:cstheme="majorBidi"/>
                <w:sz w:val="20"/>
              </w:rPr>
              <w:t>pratība</w:t>
            </w:r>
            <w:proofErr w:type="spellEnd"/>
            <w:r w:rsidRPr="00CC2BA6">
              <w:rPr>
                <w:rFonts w:asciiTheme="majorBidi" w:hAnsiTheme="majorBidi" w:cstheme="majorBidi"/>
                <w:sz w:val="20"/>
              </w:rPr>
              <w:t xml:space="preserve"> — visi valsts pārvaldes darbinieki</w:t>
            </w:r>
            <w:r w:rsidRPr="001B2C8F">
              <w:rPr>
                <w:rFonts w:asciiTheme="majorBidi" w:hAnsiTheme="majorBidi" w:cstheme="majorBidi"/>
                <w:sz w:val="20"/>
              </w:rPr>
              <w:t xml:space="preserve"> (mērķis: 2028. gadā vismaz 50% darbinieku apguvuši pamata MI </w:t>
            </w:r>
            <w:proofErr w:type="spellStart"/>
            <w:r w:rsidRPr="001B2C8F">
              <w:rPr>
                <w:rFonts w:asciiTheme="majorBidi" w:hAnsiTheme="majorBidi" w:cstheme="majorBidi"/>
                <w:sz w:val="20"/>
              </w:rPr>
              <w:t>pratības</w:t>
            </w:r>
            <w:proofErr w:type="spellEnd"/>
            <w:r w:rsidRPr="001B2C8F">
              <w:rPr>
                <w:rFonts w:asciiTheme="majorBidi" w:hAnsiTheme="majorBidi" w:cstheme="majorBidi"/>
                <w:sz w:val="20"/>
              </w:rPr>
              <w:t xml:space="preserve"> kursu);</w:t>
            </w:r>
            <w:r w:rsidRPr="001B2C8F">
              <w:rPr>
                <w:rFonts w:asciiTheme="majorBidi" w:hAnsiTheme="majorBidi" w:cstheme="majorBidi"/>
                <w:sz w:val="20"/>
              </w:rPr>
              <w:br/>
              <w:t>(2) datu analītika un MI risinājumu izmantošana — vidējā līmeņa speciālisti (mērķis: 2029. gadā vismaz 500 sertificēti speciālisti);</w:t>
            </w:r>
            <w:r w:rsidRPr="001B2C8F">
              <w:rPr>
                <w:rFonts w:asciiTheme="majorBidi" w:hAnsiTheme="majorBidi" w:cstheme="majorBidi"/>
                <w:sz w:val="20"/>
              </w:rPr>
              <w:br/>
              <w:t>(3) MI sistēmu izstrāde, testēšana un risku novērtēšana — tehniskie eksperti. VAS uzdodams nodrošināt 1. un 2. līmeņa programmas, savukārt 3. līmenis — sadarbībā ar augstskolām vai MI centru.</w:t>
            </w:r>
            <w:r w:rsidRPr="001B2C8F">
              <w:rPr>
                <w:rFonts w:asciiTheme="majorBidi" w:hAnsiTheme="majorBidi" w:cstheme="majorBidi"/>
                <w:sz w:val="20"/>
              </w:rPr>
              <w:br/>
            </w:r>
            <w:r w:rsidRPr="001B2C8F">
              <w:rPr>
                <w:rFonts w:asciiTheme="majorBidi" w:hAnsiTheme="majorBidi" w:cstheme="majorBidi"/>
                <w:sz w:val="20"/>
              </w:rPr>
              <w:br/>
            </w:r>
            <w:r w:rsidRPr="001B2C8F">
              <w:rPr>
                <w:rFonts w:asciiTheme="majorBidi" w:hAnsiTheme="majorBidi" w:cstheme="majorBidi"/>
                <w:b/>
                <w:bCs/>
                <w:sz w:val="20"/>
              </w:rPr>
              <w:t>Atsauces uz stratēģiju</w:t>
            </w:r>
            <w:r w:rsidRPr="001B2C8F">
              <w:rPr>
                <w:rFonts w:asciiTheme="majorBidi" w:hAnsiTheme="majorBidi" w:cstheme="majorBidi"/>
                <w:sz w:val="20"/>
              </w:rPr>
              <w:br/>
              <w:t>Lpp. 35 — Esošās situācijas analīze — 4. Rīcības virziens (OECD ziņojuma citāts)</w:t>
            </w:r>
            <w:r w:rsidRPr="001B2C8F">
              <w:rPr>
                <w:rFonts w:asciiTheme="majorBidi" w:hAnsiTheme="majorBidi" w:cstheme="majorBidi"/>
                <w:sz w:val="20"/>
              </w:rPr>
              <w:br/>
              <w:t xml:space="preserve">“nav izveidota vienota un koordinēta </w:t>
            </w:r>
            <w:r w:rsidRPr="001B2C8F">
              <w:rPr>
                <w:rFonts w:asciiTheme="majorBidi" w:hAnsiTheme="majorBidi" w:cstheme="majorBidi"/>
                <w:sz w:val="20"/>
              </w:rPr>
              <w:lastRenderedPageBreak/>
              <w:t>kompetenču sistēma datu jomā, kā arī skaidrs karjeras ceļš datu, analītikas un pierādījumos balstītas politikas speciālistiem. Personāla politika ir sadrumstalota pa iestādēm”</w:t>
            </w:r>
            <w:r w:rsidRPr="001B2C8F">
              <w:rPr>
                <w:rFonts w:asciiTheme="majorBidi" w:hAnsiTheme="majorBidi" w:cstheme="majorBidi"/>
                <w:sz w:val="20"/>
              </w:rPr>
              <w:br/>
              <w:t>Lpp. 35 — Esošās situācijas analīze — 4. Rīcības virziens</w:t>
            </w:r>
            <w:r w:rsidRPr="001B2C8F">
              <w:rPr>
                <w:rFonts w:asciiTheme="majorBidi" w:hAnsiTheme="majorBidi" w:cstheme="majorBidi"/>
                <w:sz w:val="20"/>
              </w:rPr>
              <w:br/>
              <w:t>“dominē tehnoloģiju ieviešanas pieeja bez pietiekamām apmācībām, tāpēc darbinieki nespēj pilnvērtīgi izmantot esošās datu sistēmas, tostarp VIRSIS un DAGR”</w:t>
            </w:r>
            <w:r w:rsidRPr="001B2C8F">
              <w:rPr>
                <w:rFonts w:asciiTheme="majorBidi" w:hAnsiTheme="majorBidi" w:cstheme="majorBidi"/>
                <w:sz w:val="20"/>
              </w:rPr>
              <w:br/>
              <w:t>Lpp. 35 — Esošās situācijas analīze — 4. Rīcības virziens</w:t>
            </w:r>
            <w:r w:rsidRPr="001B2C8F">
              <w:rPr>
                <w:rFonts w:asciiTheme="majorBidi" w:hAnsiTheme="majorBidi" w:cstheme="majorBidi"/>
                <w:sz w:val="20"/>
              </w:rPr>
              <w:br/>
              <w:t>“2024. gada Digitālās dekādes ziņojumā par Latviju rāda, ka valsts kopumā atpaliek no ES vidējā līmeņa digitālo prasmju jomā, īpaši publiskajā sektorā”</w:t>
            </w:r>
            <w:r w:rsidRPr="001B2C8F">
              <w:rPr>
                <w:rFonts w:asciiTheme="majorBidi" w:hAnsiTheme="majorBidi" w:cstheme="majorBidi"/>
                <w:sz w:val="20"/>
              </w:rPr>
              <w:br/>
              <w:t>Lpp. 44 — Stratēģijas ieviešanas rīcības plāns</w:t>
            </w:r>
            <w:r w:rsidRPr="001B2C8F">
              <w:rPr>
                <w:rFonts w:asciiTheme="majorBidi" w:hAnsiTheme="majorBidi" w:cstheme="majorBidi"/>
                <w:sz w:val="20"/>
              </w:rPr>
              <w:br/>
              <w:t>“VAS sadarbībā ar VARAM veikt nepieciešamo ES MFF investīciju plānošanu 2028. - 2034. gada periodam, lai nodrošinātu datu pārvaldības kompetenču attīstību publiskajā pārvaldē”</w:t>
            </w:r>
          </w:p>
        </w:tc>
        <w:tc>
          <w:tcPr>
            <w:tcW w:w="1650" w:type="dxa"/>
            <w:shd w:val="clear" w:color="auto" w:fill="FFFFFF"/>
            <w:noWrap/>
            <w:tcMar>
              <w:top w:w="75" w:type="dxa"/>
              <w:left w:w="75" w:type="dxa"/>
              <w:bottom w:w="75" w:type="dxa"/>
              <w:right w:w="75" w:type="dxa"/>
            </w:tcMar>
            <w:vAlign w:val="center"/>
          </w:tcPr>
          <w:p w14:paraId="67D37197" w14:textId="4E1CCB9B" w:rsidR="00D56FFC" w:rsidRPr="001B2C8F" w:rsidRDefault="006758D6">
            <w:pPr>
              <w:jc w:val="left"/>
              <w:rPr>
                <w:rFonts w:asciiTheme="majorBidi" w:hAnsiTheme="majorBidi" w:cstheme="majorBidi"/>
                <w:sz w:val="20"/>
              </w:rPr>
            </w:pPr>
            <w:r w:rsidRPr="001B2C8F">
              <w:rPr>
                <w:rFonts w:asciiTheme="majorBidi" w:hAnsiTheme="majorBidi" w:cstheme="majorBidi"/>
                <w:sz w:val="20"/>
              </w:rPr>
              <w:lastRenderedPageBreak/>
              <w:t>Nav ņemts vērā</w:t>
            </w:r>
          </w:p>
        </w:tc>
        <w:tc>
          <w:tcPr>
            <w:tcW w:w="4056" w:type="dxa"/>
            <w:shd w:val="clear" w:color="auto" w:fill="FFFFFF"/>
            <w:noWrap/>
            <w:tcMar>
              <w:top w:w="75" w:type="dxa"/>
              <w:left w:w="75" w:type="dxa"/>
              <w:bottom w:w="75" w:type="dxa"/>
              <w:right w:w="75" w:type="dxa"/>
            </w:tcMar>
            <w:vAlign w:val="center"/>
          </w:tcPr>
          <w:p w14:paraId="35B98CF1" w14:textId="406C5D8E" w:rsidR="00D56FFC" w:rsidRPr="001B2C8F" w:rsidRDefault="002F7F38">
            <w:pPr>
              <w:jc w:val="left"/>
              <w:rPr>
                <w:rFonts w:asciiTheme="majorBidi" w:hAnsiTheme="majorBidi" w:cstheme="majorBidi"/>
                <w:sz w:val="20"/>
              </w:rPr>
            </w:pPr>
            <w:r w:rsidRPr="001B2C8F">
              <w:rPr>
                <w:rFonts w:asciiTheme="majorBidi" w:hAnsiTheme="majorBidi" w:cstheme="majorBidi"/>
                <w:sz w:val="20"/>
              </w:rPr>
              <w:t xml:space="preserve">Datu pārvaldības stratēģijas ietvaros plānots </w:t>
            </w:r>
            <w:r w:rsidR="004948B8" w:rsidRPr="001B2C8F">
              <w:rPr>
                <w:rFonts w:asciiTheme="majorBidi" w:hAnsiTheme="majorBidi" w:cstheme="majorBidi"/>
                <w:sz w:val="20"/>
              </w:rPr>
              <w:t>risināt jautājums saistībā ar prasmju līmeņa celšanu valsts pārvaldē datu jomā,</w:t>
            </w:r>
            <w:r w:rsidR="001B2C8F" w:rsidRPr="001B2C8F">
              <w:rPr>
                <w:rFonts w:asciiTheme="majorBidi" w:hAnsiTheme="majorBidi" w:cstheme="majorBidi"/>
                <w:sz w:val="20"/>
              </w:rPr>
              <w:t xml:space="preserve"> šīs stratēģijas </w:t>
            </w:r>
            <w:r w:rsidR="001B2C8F" w:rsidRPr="001B2C8F">
              <w:rPr>
                <w:rFonts w:asciiTheme="majorBidi" w:hAnsiTheme="majorBidi" w:cstheme="majorBidi"/>
                <w:sz w:val="20"/>
              </w:rPr>
              <w:lastRenderedPageBreak/>
              <w:t xml:space="preserve">ietveros prasmju kontekstā nav plānots specifiski izcelt MI kompetenci </w:t>
            </w:r>
          </w:p>
        </w:tc>
      </w:tr>
      <w:tr w:rsidR="00D56FFC" w:rsidRPr="001B2C8F" w14:paraId="529ACF63" w14:textId="77777777" w:rsidTr="00F140DC">
        <w:tc>
          <w:tcPr>
            <w:tcW w:w="1695" w:type="dxa"/>
            <w:shd w:val="clear" w:color="auto" w:fill="FFFFFF"/>
            <w:noWrap/>
            <w:tcMar>
              <w:top w:w="75" w:type="dxa"/>
              <w:left w:w="75" w:type="dxa"/>
              <w:bottom w:w="75" w:type="dxa"/>
              <w:right w:w="75" w:type="dxa"/>
            </w:tcMar>
            <w:vAlign w:val="center"/>
          </w:tcPr>
          <w:p w14:paraId="5CBD75FA" w14:textId="70F6BB44" w:rsidR="00D56FFC" w:rsidRPr="001B2C8F" w:rsidRDefault="001106BB" w:rsidP="001106BB">
            <w:pPr>
              <w:jc w:val="center"/>
              <w:rPr>
                <w:rFonts w:asciiTheme="majorBidi" w:hAnsiTheme="majorBidi" w:cstheme="majorBidi"/>
                <w:sz w:val="20"/>
              </w:rPr>
            </w:pPr>
            <w:r w:rsidRPr="001106BB">
              <w:rPr>
                <w:rFonts w:asciiTheme="majorBidi" w:hAnsiTheme="majorBidi" w:cstheme="majorBidi"/>
                <w:sz w:val="20"/>
              </w:rPr>
              <w:lastRenderedPageBreak/>
              <w:t>26-TA-347/3</w:t>
            </w:r>
          </w:p>
        </w:tc>
        <w:tc>
          <w:tcPr>
            <w:tcW w:w="3110" w:type="dxa"/>
            <w:shd w:val="clear" w:color="auto" w:fill="FFFFFF"/>
            <w:noWrap/>
            <w:tcMar>
              <w:top w:w="75" w:type="dxa"/>
              <w:left w:w="75" w:type="dxa"/>
              <w:bottom w:w="75" w:type="dxa"/>
              <w:right w:w="75" w:type="dxa"/>
            </w:tcMar>
            <w:vAlign w:val="center"/>
          </w:tcPr>
          <w:p w14:paraId="283B2395" w14:textId="77777777" w:rsidR="009902D7" w:rsidRPr="009902D7" w:rsidRDefault="009902D7" w:rsidP="009902D7">
            <w:pPr>
              <w:jc w:val="left"/>
              <w:rPr>
                <w:rFonts w:asciiTheme="majorBidi" w:hAnsiTheme="majorBidi" w:cstheme="majorBidi"/>
                <w:sz w:val="20"/>
              </w:rPr>
            </w:pPr>
            <w:r w:rsidRPr="009902D7">
              <w:rPr>
                <w:rFonts w:asciiTheme="majorBidi" w:hAnsiTheme="majorBidi" w:cstheme="majorBidi"/>
                <w:sz w:val="20"/>
              </w:rPr>
              <w:t>iedzīvotāji, uzņēmumi, pētnieki</w:t>
            </w:r>
          </w:p>
          <w:p w14:paraId="6B63E045" w14:textId="77777777" w:rsidR="00D56FFC" w:rsidRPr="001B2C8F" w:rsidRDefault="00D56FFC" w:rsidP="009902D7">
            <w:pPr>
              <w:jc w:val="center"/>
              <w:rPr>
                <w:rFonts w:asciiTheme="majorBidi" w:hAnsiTheme="majorBidi" w:cstheme="majorBidi"/>
                <w:sz w:val="20"/>
              </w:rPr>
            </w:pPr>
          </w:p>
        </w:tc>
        <w:tc>
          <w:tcPr>
            <w:tcW w:w="4056" w:type="dxa"/>
            <w:shd w:val="clear" w:color="auto" w:fill="FFFFFF"/>
            <w:noWrap/>
            <w:tcMar>
              <w:top w:w="75" w:type="dxa"/>
              <w:left w:w="75" w:type="dxa"/>
              <w:bottom w:w="75" w:type="dxa"/>
              <w:right w:w="75" w:type="dxa"/>
            </w:tcMar>
            <w:vAlign w:val="center"/>
          </w:tcPr>
          <w:p w14:paraId="719F98D8" w14:textId="3B37C419" w:rsidR="00D56FFC" w:rsidRPr="001B2C8F" w:rsidRDefault="00DA75AD" w:rsidP="00DA75AD">
            <w:pPr>
              <w:jc w:val="left"/>
              <w:rPr>
                <w:rFonts w:asciiTheme="majorBidi" w:hAnsiTheme="majorBidi" w:cstheme="majorBidi"/>
                <w:sz w:val="20"/>
              </w:rPr>
            </w:pPr>
            <w:r w:rsidRPr="00DA75AD">
              <w:rPr>
                <w:rFonts w:asciiTheme="majorBidi" w:hAnsiTheme="majorBidi" w:cstheme="majorBidi"/>
                <w:b/>
                <w:bCs/>
                <w:sz w:val="20"/>
              </w:rPr>
              <w:t>CSP kā vienīgais MI infrastruktūras centrs rada vienas iestādes atkarības risku</w:t>
            </w:r>
            <w:r w:rsidRPr="00DA75AD">
              <w:rPr>
                <w:rFonts w:asciiTheme="majorBidi" w:hAnsiTheme="majorBidi" w:cstheme="majorBidi"/>
                <w:sz w:val="20"/>
              </w:rPr>
              <w:br/>
            </w:r>
            <w:r w:rsidRPr="00DA75AD">
              <w:rPr>
                <w:rFonts w:asciiTheme="majorBidi" w:hAnsiTheme="majorBidi" w:cstheme="majorBidi"/>
                <w:sz w:val="20"/>
              </w:rPr>
              <w:br/>
            </w:r>
            <w:r w:rsidRPr="00DA75AD">
              <w:rPr>
                <w:rFonts w:asciiTheme="majorBidi" w:hAnsiTheme="majorBidi" w:cstheme="majorBidi"/>
                <w:b/>
                <w:bCs/>
                <w:sz w:val="20"/>
              </w:rPr>
              <w:t>Iebildums / trūkums</w:t>
            </w:r>
            <w:r w:rsidRPr="00DA75AD">
              <w:rPr>
                <w:rFonts w:asciiTheme="majorBidi" w:hAnsiTheme="majorBidi" w:cstheme="majorBidi"/>
                <w:sz w:val="20"/>
              </w:rPr>
              <w:br/>
              <w:t>Stratēģija CSP piešķir gan MI infrastruktūras (</w:t>
            </w:r>
            <w:proofErr w:type="spellStart"/>
            <w:r w:rsidRPr="00DA75AD">
              <w:rPr>
                <w:rFonts w:asciiTheme="majorBidi" w:hAnsiTheme="majorBidi" w:cstheme="majorBidi"/>
                <w:sz w:val="20"/>
              </w:rPr>
              <w:t>sandbox</w:t>
            </w:r>
            <w:proofErr w:type="spellEnd"/>
            <w:r w:rsidRPr="00DA75AD">
              <w:rPr>
                <w:rFonts w:asciiTheme="majorBidi" w:hAnsiTheme="majorBidi" w:cstheme="majorBidi"/>
                <w:sz w:val="20"/>
              </w:rPr>
              <w:t>, MI trenēšanas vide), gan datu analītikas, gan tiesiskā ietvara nodrošinātāja lomu. CSP tradicionāli ir statistikas iestāde, kuras transformācija uz MI centru vēl tikai notiek. Ja šī transformācija kavēsies, viss 3. rīcības virziens apstāsies.</w:t>
            </w:r>
            <w:r w:rsidRPr="00DA75AD">
              <w:rPr>
                <w:rFonts w:asciiTheme="majorBidi" w:hAnsiTheme="majorBidi" w:cstheme="majorBidi"/>
                <w:sz w:val="20"/>
              </w:rPr>
              <w:br/>
            </w:r>
            <w:r w:rsidRPr="00DA75AD">
              <w:rPr>
                <w:rFonts w:asciiTheme="majorBidi" w:hAnsiTheme="majorBidi" w:cstheme="majorBidi"/>
                <w:sz w:val="20"/>
              </w:rPr>
              <w:lastRenderedPageBreak/>
              <w:t>Stratēģijā nav paredzēts alternatīvs scenārijs, nav noteikts, kādā brīdī tiek izvērtēts CSP gatavības stāvoklis, un nav aprakstīts atbildību sadalījums starp CSP un VDAA gadījumā, ja CSP kapacitāte ir nepietiekama.</w:t>
            </w:r>
            <w:r w:rsidRPr="00DA75AD">
              <w:rPr>
                <w:rFonts w:asciiTheme="majorBidi" w:hAnsiTheme="majorBidi" w:cstheme="majorBidi"/>
                <w:sz w:val="20"/>
              </w:rPr>
              <w:br/>
            </w:r>
            <w:r w:rsidRPr="00DA75AD">
              <w:rPr>
                <w:rFonts w:asciiTheme="majorBidi" w:hAnsiTheme="majorBidi" w:cstheme="majorBidi"/>
                <w:sz w:val="20"/>
              </w:rPr>
              <w:br/>
            </w:r>
            <w:r w:rsidRPr="00DA75AD">
              <w:rPr>
                <w:rFonts w:asciiTheme="majorBidi" w:hAnsiTheme="majorBidi" w:cstheme="majorBidi"/>
                <w:b/>
                <w:bCs/>
                <w:sz w:val="20"/>
              </w:rPr>
              <w:t>Ierosinājums / priekšlikums</w:t>
            </w:r>
            <w:r w:rsidRPr="00DA75AD">
              <w:rPr>
                <w:rFonts w:asciiTheme="majorBidi" w:hAnsiTheme="majorBidi" w:cstheme="majorBidi"/>
                <w:sz w:val="20"/>
              </w:rPr>
              <w:br/>
              <w:t xml:space="preserve">Jāparedz </w:t>
            </w:r>
            <w:proofErr w:type="spellStart"/>
            <w:r w:rsidRPr="00DA75AD">
              <w:rPr>
                <w:rFonts w:asciiTheme="majorBidi" w:hAnsiTheme="majorBidi" w:cstheme="majorBidi"/>
                <w:sz w:val="20"/>
              </w:rPr>
              <w:t>divlīmeņu</w:t>
            </w:r>
            <w:proofErr w:type="spellEnd"/>
            <w:r w:rsidRPr="00DA75AD">
              <w:rPr>
                <w:rFonts w:asciiTheme="majorBidi" w:hAnsiTheme="majorBidi" w:cstheme="majorBidi"/>
                <w:sz w:val="20"/>
              </w:rPr>
              <w:t xml:space="preserve"> drošības tīkls:</w:t>
            </w:r>
            <w:r w:rsidRPr="00DA75AD">
              <w:rPr>
                <w:rFonts w:asciiTheme="majorBidi" w:hAnsiTheme="majorBidi" w:cstheme="majorBidi"/>
                <w:sz w:val="20"/>
              </w:rPr>
              <w:br/>
              <w:t xml:space="preserve">(1) ikgadējs CSP kapacitātes un transformācijas progresa novērtējums, kura rezultāti tiek iesniegti Nacionālajai datu padomei — ar skaidriem sliekšņiem (piemēram, ja MI </w:t>
            </w:r>
            <w:proofErr w:type="spellStart"/>
            <w:r w:rsidRPr="00DA75AD">
              <w:rPr>
                <w:rFonts w:asciiTheme="majorBidi" w:hAnsiTheme="majorBidi" w:cstheme="majorBidi"/>
                <w:sz w:val="20"/>
              </w:rPr>
              <w:t>sandbox</w:t>
            </w:r>
            <w:proofErr w:type="spellEnd"/>
            <w:r w:rsidRPr="00DA75AD">
              <w:rPr>
                <w:rFonts w:asciiTheme="majorBidi" w:hAnsiTheme="majorBidi" w:cstheme="majorBidi"/>
                <w:sz w:val="20"/>
              </w:rPr>
              <w:t xml:space="preserve"> nav </w:t>
            </w:r>
            <w:proofErr w:type="spellStart"/>
            <w:r w:rsidRPr="00DA75AD">
              <w:rPr>
                <w:rFonts w:asciiTheme="majorBidi" w:hAnsiTheme="majorBidi" w:cstheme="majorBidi"/>
                <w:sz w:val="20"/>
              </w:rPr>
              <w:t>darbotājies</w:t>
            </w:r>
            <w:proofErr w:type="spellEnd"/>
            <w:r w:rsidRPr="00DA75AD">
              <w:rPr>
                <w:rFonts w:asciiTheme="majorBidi" w:hAnsiTheme="majorBidi" w:cstheme="majorBidi"/>
                <w:sz w:val="20"/>
              </w:rPr>
              <w:t xml:space="preserve"> līdz 2027. Q3, tiek aktivizēts starpposma risinājums);</w:t>
            </w:r>
            <w:r w:rsidRPr="00DA75AD">
              <w:rPr>
                <w:rFonts w:asciiTheme="majorBidi" w:hAnsiTheme="majorBidi" w:cstheme="majorBidi"/>
                <w:sz w:val="20"/>
              </w:rPr>
              <w:br/>
              <w:t>(2) skaidri nodalīta atbildība starp CSP un VDAA — CSP nodrošina MI infrastruktūru un datu apstrādi, VDAA nodrošina datu izplatīšanu un koplietošanas risinājumus, un to savstarpējā robeža ir dokumentēta kā daļa no Datu laboratorijas izveides procesa.</w:t>
            </w:r>
            <w:r w:rsidRPr="00DA75AD">
              <w:rPr>
                <w:rFonts w:asciiTheme="majorBidi" w:hAnsiTheme="majorBidi" w:cstheme="majorBidi"/>
                <w:sz w:val="20"/>
              </w:rPr>
              <w:br/>
            </w:r>
            <w:r w:rsidRPr="00DA75AD">
              <w:rPr>
                <w:rFonts w:asciiTheme="majorBidi" w:hAnsiTheme="majorBidi" w:cstheme="majorBidi"/>
                <w:sz w:val="20"/>
              </w:rPr>
              <w:br/>
            </w:r>
            <w:r w:rsidRPr="00DA75AD">
              <w:rPr>
                <w:rFonts w:asciiTheme="majorBidi" w:hAnsiTheme="majorBidi" w:cstheme="majorBidi"/>
                <w:b/>
                <w:bCs/>
                <w:sz w:val="20"/>
              </w:rPr>
              <w:t>Atsauces uz stratēģiju</w:t>
            </w:r>
            <w:r w:rsidRPr="00DA75AD">
              <w:rPr>
                <w:rFonts w:asciiTheme="majorBidi" w:hAnsiTheme="majorBidi" w:cstheme="majorBidi"/>
                <w:sz w:val="20"/>
              </w:rPr>
              <w:br/>
              <w:t>Lpp. 31 — Esošās situācijas analīze — 3. Rīcības virziens</w:t>
            </w:r>
            <w:r w:rsidRPr="00DA75AD">
              <w:rPr>
                <w:rFonts w:asciiTheme="majorBidi" w:hAnsiTheme="majorBidi" w:cstheme="majorBidi"/>
                <w:sz w:val="20"/>
              </w:rPr>
              <w:br/>
              <w:t>“Tāpat CSP uzsākusi iekšējās pārmaiņas, kuru rezultātā tā maina fokusu no oficiālās statistikas funkcijas uz datu analītiku un MI risinājumu testēšanu”</w:t>
            </w:r>
            <w:r w:rsidRPr="00DA75AD">
              <w:rPr>
                <w:rFonts w:asciiTheme="majorBidi" w:hAnsiTheme="majorBidi" w:cstheme="majorBidi"/>
                <w:sz w:val="20"/>
              </w:rPr>
              <w:br/>
              <w:t>Lpp. 34 — Esošās situācijas analīze — 3. Rīcības virziens</w:t>
            </w:r>
            <w:r w:rsidRPr="00DA75AD">
              <w:rPr>
                <w:rFonts w:asciiTheme="majorBidi" w:hAnsiTheme="majorBidi" w:cstheme="majorBidi"/>
                <w:sz w:val="20"/>
              </w:rPr>
              <w:br/>
              <w:t xml:space="preserve">“MK 2026.gada 13.janvāra noteikumi Nr. 12 "Kārtība, kādā Mākslīgā intelekta centrs organizē speciālo regulatīvo vidi un datu </w:t>
            </w:r>
            <w:r w:rsidRPr="00DA75AD">
              <w:rPr>
                <w:rFonts w:asciiTheme="majorBidi" w:hAnsiTheme="majorBidi" w:cstheme="majorBidi"/>
                <w:sz w:val="20"/>
              </w:rPr>
              <w:lastRenderedPageBreak/>
              <w:t>apstrādi", paredzēts pienākums CSP veidot tehnoloģisko regulatīvo vidi mākslīgā intelekta trenēšanas vajadzībām”</w:t>
            </w:r>
          </w:p>
        </w:tc>
        <w:tc>
          <w:tcPr>
            <w:tcW w:w="1650" w:type="dxa"/>
            <w:shd w:val="clear" w:color="auto" w:fill="FFFFFF"/>
            <w:noWrap/>
            <w:tcMar>
              <w:top w:w="75" w:type="dxa"/>
              <w:left w:w="75" w:type="dxa"/>
              <w:bottom w:w="75" w:type="dxa"/>
              <w:right w:w="75" w:type="dxa"/>
            </w:tcMar>
            <w:vAlign w:val="center"/>
          </w:tcPr>
          <w:p w14:paraId="12B79853" w14:textId="1082F4CB" w:rsidR="00D56FFC" w:rsidRPr="001B2C8F" w:rsidRDefault="002F0EEF">
            <w:pPr>
              <w:jc w:val="left"/>
              <w:rPr>
                <w:rFonts w:asciiTheme="majorBidi" w:hAnsiTheme="majorBidi" w:cstheme="majorBidi"/>
                <w:sz w:val="20"/>
              </w:rPr>
            </w:pPr>
            <w:r>
              <w:rPr>
                <w:rFonts w:asciiTheme="majorBidi" w:hAnsiTheme="majorBidi" w:cstheme="majorBidi"/>
                <w:sz w:val="20"/>
              </w:rPr>
              <w:lastRenderedPageBreak/>
              <w:t>Daļēji ņemts vērā</w:t>
            </w:r>
          </w:p>
        </w:tc>
        <w:tc>
          <w:tcPr>
            <w:tcW w:w="4056" w:type="dxa"/>
            <w:shd w:val="clear" w:color="auto" w:fill="FFFFFF"/>
            <w:noWrap/>
            <w:tcMar>
              <w:top w:w="75" w:type="dxa"/>
              <w:left w:w="75" w:type="dxa"/>
              <w:bottom w:w="75" w:type="dxa"/>
              <w:right w:w="75" w:type="dxa"/>
            </w:tcMar>
            <w:vAlign w:val="center"/>
          </w:tcPr>
          <w:p w14:paraId="4A514B8B" w14:textId="65D43C49" w:rsidR="002F0EEF" w:rsidRPr="002F0EEF" w:rsidRDefault="002F0EEF" w:rsidP="002F0EEF">
            <w:pPr>
              <w:jc w:val="left"/>
              <w:rPr>
                <w:rFonts w:asciiTheme="majorBidi" w:hAnsiTheme="majorBidi" w:cstheme="majorBidi"/>
                <w:sz w:val="20"/>
              </w:rPr>
            </w:pPr>
            <w:r w:rsidRPr="002F0EEF">
              <w:rPr>
                <w:rFonts w:asciiTheme="majorBidi" w:hAnsiTheme="majorBidi" w:cstheme="majorBidi"/>
                <w:sz w:val="20"/>
              </w:rPr>
              <w:t>CSP kā drošās vides turētāja loma jau</w:t>
            </w:r>
            <w:r>
              <w:rPr>
                <w:rFonts w:asciiTheme="majorBidi" w:hAnsiTheme="majorBidi" w:cstheme="majorBidi"/>
                <w:sz w:val="20"/>
              </w:rPr>
              <w:t xml:space="preserve"> šobrīd </w:t>
            </w:r>
            <w:r w:rsidRPr="002F0EEF">
              <w:rPr>
                <w:rFonts w:asciiTheme="majorBidi" w:hAnsiTheme="majorBidi" w:cstheme="majorBidi"/>
                <w:sz w:val="20"/>
              </w:rPr>
              <w:t>noteikta normatīvajos aktos un tiek stiprināta arī stratēģijā.</w:t>
            </w:r>
            <w:r>
              <w:rPr>
                <w:rFonts w:asciiTheme="majorBidi" w:hAnsiTheme="majorBidi" w:cstheme="majorBidi"/>
                <w:sz w:val="20"/>
              </w:rPr>
              <w:t xml:space="preserve"> </w:t>
            </w:r>
            <w:r w:rsidRPr="002F0EEF">
              <w:rPr>
                <w:rFonts w:asciiTheme="majorBidi" w:hAnsiTheme="majorBidi" w:cstheme="majorBidi"/>
                <w:sz w:val="20"/>
              </w:rPr>
              <w:t>Ne CSP, ne citām iestādēm nav paredzēta neierobežota skaitļošanas jauda, tādēļ risinājumi tiek veidoti, ievērojot resursu ierobežojumus.</w:t>
            </w:r>
            <w:r>
              <w:rPr>
                <w:rFonts w:asciiTheme="majorBidi" w:hAnsiTheme="majorBidi" w:cstheme="majorBidi"/>
                <w:sz w:val="20"/>
              </w:rPr>
              <w:t xml:space="preserve"> </w:t>
            </w:r>
            <w:r w:rsidRPr="002F0EEF">
              <w:rPr>
                <w:rFonts w:asciiTheme="majorBidi" w:hAnsiTheme="majorBidi" w:cstheme="majorBidi"/>
                <w:sz w:val="20"/>
              </w:rPr>
              <w:t xml:space="preserve">VDAA un CSP pienākumu sadalījums Datu laboratorijas kontekstā tiks precizēts stratēģijas ieviešanas </w:t>
            </w:r>
            <w:proofErr w:type="spellStart"/>
            <w:r w:rsidRPr="002F0EEF">
              <w:rPr>
                <w:rFonts w:asciiTheme="majorBidi" w:hAnsiTheme="majorBidi" w:cstheme="majorBidi"/>
                <w:sz w:val="20"/>
              </w:rPr>
              <w:t>ieviešanas</w:t>
            </w:r>
            <w:proofErr w:type="spellEnd"/>
            <w:r w:rsidRPr="002F0EEF">
              <w:rPr>
                <w:rFonts w:asciiTheme="majorBidi" w:hAnsiTheme="majorBidi" w:cstheme="majorBidi"/>
                <w:sz w:val="20"/>
              </w:rPr>
              <w:t xml:space="preserve"> ietvaros.</w:t>
            </w:r>
          </w:p>
          <w:p w14:paraId="285B5363" w14:textId="77777777" w:rsidR="00D56FFC" w:rsidRPr="001B2C8F" w:rsidRDefault="00D56FFC">
            <w:pPr>
              <w:jc w:val="left"/>
              <w:rPr>
                <w:rFonts w:asciiTheme="majorBidi" w:hAnsiTheme="majorBidi" w:cstheme="majorBidi"/>
                <w:sz w:val="20"/>
              </w:rPr>
            </w:pPr>
          </w:p>
        </w:tc>
      </w:tr>
      <w:tr w:rsidR="00D56FFC" w:rsidRPr="001B2C8F" w14:paraId="46540C72" w14:textId="77777777" w:rsidTr="00F140DC">
        <w:tc>
          <w:tcPr>
            <w:tcW w:w="1695" w:type="dxa"/>
            <w:shd w:val="clear" w:color="auto" w:fill="FFFFFF"/>
            <w:noWrap/>
            <w:tcMar>
              <w:top w:w="75" w:type="dxa"/>
              <w:left w:w="75" w:type="dxa"/>
              <w:bottom w:w="75" w:type="dxa"/>
              <w:right w:w="75" w:type="dxa"/>
            </w:tcMar>
            <w:vAlign w:val="center"/>
          </w:tcPr>
          <w:p w14:paraId="63D6B5E0" w14:textId="6D195394" w:rsidR="00D56FFC" w:rsidRPr="001B2C8F" w:rsidRDefault="001979AF" w:rsidP="001979AF">
            <w:pPr>
              <w:jc w:val="center"/>
              <w:rPr>
                <w:rFonts w:asciiTheme="majorBidi" w:hAnsiTheme="majorBidi" w:cstheme="majorBidi"/>
                <w:sz w:val="20"/>
              </w:rPr>
            </w:pPr>
            <w:r w:rsidRPr="001979AF">
              <w:rPr>
                <w:rFonts w:asciiTheme="majorBidi" w:hAnsiTheme="majorBidi" w:cstheme="majorBidi"/>
                <w:sz w:val="20"/>
              </w:rPr>
              <w:lastRenderedPageBreak/>
              <w:t>26-TA-347/4</w:t>
            </w:r>
          </w:p>
        </w:tc>
        <w:tc>
          <w:tcPr>
            <w:tcW w:w="3110" w:type="dxa"/>
            <w:shd w:val="clear" w:color="auto" w:fill="FFFFFF"/>
            <w:noWrap/>
            <w:tcMar>
              <w:top w:w="75" w:type="dxa"/>
              <w:left w:w="75" w:type="dxa"/>
              <w:bottom w:w="75" w:type="dxa"/>
              <w:right w:w="75" w:type="dxa"/>
            </w:tcMar>
            <w:vAlign w:val="center"/>
          </w:tcPr>
          <w:p w14:paraId="3F0C4EE8" w14:textId="35B059B2" w:rsidR="00D56FFC" w:rsidRPr="001B2C8F" w:rsidRDefault="002C6B40" w:rsidP="002C6B40">
            <w:pPr>
              <w:jc w:val="left"/>
              <w:rPr>
                <w:rFonts w:asciiTheme="majorBidi" w:hAnsiTheme="majorBidi" w:cstheme="majorBidi"/>
                <w:sz w:val="20"/>
              </w:rPr>
            </w:pPr>
            <w:r w:rsidRPr="002C6B40">
              <w:rPr>
                <w:rFonts w:asciiTheme="majorBidi" w:hAnsiTheme="majorBidi" w:cstheme="majorBidi"/>
                <w:sz w:val="20"/>
              </w:rPr>
              <w:t>iedzīvotāji, uzņēmumi, pētnieki</w:t>
            </w:r>
          </w:p>
        </w:tc>
        <w:tc>
          <w:tcPr>
            <w:tcW w:w="4056" w:type="dxa"/>
            <w:shd w:val="clear" w:color="auto" w:fill="FFFFFF"/>
            <w:noWrap/>
            <w:tcMar>
              <w:top w:w="75" w:type="dxa"/>
              <w:left w:w="75" w:type="dxa"/>
              <w:bottom w:w="75" w:type="dxa"/>
              <w:right w:w="75" w:type="dxa"/>
            </w:tcMar>
            <w:vAlign w:val="center"/>
          </w:tcPr>
          <w:p w14:paraId="563BEFC6" w14:textId="51B3CAB2" w:rsidR="00D56FFC" w:rsidRPr="001B2C8F" w:rsidRDefault="00350BDF" w:rsidP="00350BDF">
            <w:pPr>
              <w:jc w:val="left"/>
              <w:rPr>
                <w:rFonts w:asciiTheme="majorBidi" w:hAnsiTheme="majorBidi" w:cstheme="majorBidi"/>
                <w:sz w:val="20"/>
              </w:rPr>
            </w:pPr>
            <w:r w:rsidRPr="00350BDF">
              <w:rPr>
                <w:rFonts w:asciiTheme="majorBidi" w:hAnsiTheme="majorBidi" w:cstheme="majorBidi"/>
                <w:b/>
                <w:bCs/>
                <w:sz w:val="20"/>
              </w:rPr>
              <w:t>Nav paredzēts mehānisms stratēģijas MI sadaļas regulārai satura aktualizācijai</w:t>
            </w:r>
            <w:r w:rsidRPr="00350BDF">
              <w:rPr>
                <w:rFonts w:asciiTheme="majorBidi" w:hAnsiTheme="majorBidi" w:cstheme="majorBidi"/>
                <w:sz w:val="20"/>
              </w:rPr>
              <w:br/>
            </w:r>
            <w:r w:rsidRPr="00350BDF">
              <w:rPr>
                <w:rFonts w:asciiTheme="majorBidi" w:hAnsiTheme="majorBidi" w:cstheme="majorBidi"/>
                <w:sz w:val="20"/>
              </w:rPr>
              <w:br/>
            </w:r>
            <w:r w:rsidRPr="00350BDF">
              <w:rPr>
                <w:rFonts w:asciiTheme="majorBidi" w:hAnsiTheme="majorBidi" w:cstheme="majorBidi"/>
                <w:b/>
                <w:bCs/>
                <w:sz w:val="20"/>
              </w:rPr>
              <w:t>Iebildums / trūkums</w:t>
            </w:r>
            <w:r w:rsidRPr="00350BDF">
              <w:rPr>
                <w:rFonts w:asciiTheme="majorBidi" w:hAnsiTheme="majorBidi" w:cstheme="majorBidi"/>
                <w:sz w:val="20"/>
              </w:rPr>
              <w:br/>
              <w:t xml:space="preserve">MI tehnoloģijas, ES regulējums un labās prakses piemēri mainās ievērojami ātrāk nekā 5 gadu stratēģiju cikli. Stratēģijā paredzēts tikai ikgadējs progresa </w:t>
            </w:r>
            <w:proofErr w:type="spellStart"/>
            <w:r w:rsidRPr="00350BDF">
              <w:rPr>
                <w:rFonts w:asciiTheme="majorBidi" w:hAnsiTheme="majorBidi" w:cstheme="majorBidi"/>
                <w:sz w:val="20"/>
              </w:rPr>
              <w:t>izvērtējums</w:t>
            </w:r>
            <w:proofErr w:type="spellEnd"/>
            <w:r w:rsidRPr="00350BDF">
              <w:rPr>
                <w:rFonts w:asciiTheme="majorBidi" w:hAnsiTheme="majorBidi" w:cstheme="majorBidi"/>
                <w:sz w:val="20"/>
              </w:rPr>
              <w:t xml:space="preserve"> Nacionālajā datu padomē un noslēguma ziņojums MK 2030. gadā. Šis mehānisms ļauj konstatēt, vai uzdevumi ir izpildīti, bet neparedz stratēģijas satura grozīšanu gadījumā, ja konteksts ir mainījies.</w:t>
            </w:r>
            <w:r w:rsidRPr="00350BDF">
              <w:rPr>
                <w:rFonts w:asciiTheme="majorBidi" w:hAnsiTheme="majorBidi" w:cstheme="majorBidi"/>
                <w:sz w:val="20"/>
              </w:rPr>
              <w:br/>
              <w:t>Vienīgais saturiskais pārskatīšanas punkts stratēģijas darbības laikā ir ziņojums 2030. gadā — tas nozīmē, ka novecojušu MI mērķi var palikt nemainīti visu 5 gadu periodu.</w:t>
            </w:r>
            <w:r w:rsidRPr="00350BDF">
              <w:rPr>
                <w:rFonts w:asciiTheme="majorBidi" w:hAnsiTheme="majorBidi" w:cstheme="majorBidi"/>
                <w:sz w:val="20"/>
              </w:rPr>
              <w:br/>
            </w:r>
            <w:r w:rsidRPr="00350BDF">
              <w:rPr>
                <w:rFonts w:asciiTheme="majorBidi" w:hAnsiTheme="majorBidi" w:cstheme="majorBidi"/>
                <w:sz w:val="20"/>
              </w:rPr>
              <w:br/>
            </w:r>
            <w:r w:rsidRPr="00350BDF">
              <w:rPr>
                <w:rFonts w:asciiTheme="majorBidi" w:hAnsiTheme="majorBidi" w:cstheme="majorBidi"/>
                <w:b/>
                <w:bCs/>
                <w:sz w:val="20"/>
              </w:rPr>
              <w:t>Ierosinājums / priekšlikums</w:t>
            </w:r>
            <w:r w:rsidRPr="00350BDF">
              <w:rPr>
                <w:rFonts w:asciiTheme="majorBidi" w:hAnsiTheme="majorBidi" w:cstheme="majorBidi"/>
                <w:sz w:val="20"/>
              </w:rPr>
              <w:br/>
              <w:t>Jāparedz "dzīvā dokumenta" princips MI rīcības virzienam: Nacionālajai datu padomei katru gadu ne tikai jāpārskata progresa rādītāji, bet arī jāizvērtē, vai MI uzdevumi un rādītāji joprojām atbilst tehnoloģiju attīstībai un ES politikas izmaiņām. Ja padome konstatē būtisku neatbilstību, VARAM 6 mēnešu laikā sagatavo grozījumu priekšlikumus. Šis pienākums jāiekļauj normatīvajā regulējumā.</w:t>
            </w:r>
            <w:r w:rsidRPr="00350BDF">
              <w:rPr>
                <w:rFonts w:asciiTheme="majorBidi" w:hAnsiTheme="majorBidi" w:cstheme="majorBidi"/>
                <w:sz w:val="20"/>
              </w:rPr>
              <w:br/>
            </w:r>
            <w:r w:rsidRPr="00350BDF">
              <w:rPr>
                <w:rFonts w:asciiTheme="majorBidi" w:hAnsiTheme="majorBidi" w:cstheme="majorBidi"/>
                <w:sz w:val="20"/>
              </w:rPr>
              <w:br/>
            </w:r>
            <w:r w:rsidRPr="00350BDF">
              <w:rPr>
                <w:rFonts w:asciiTheme="majorBidi" w:hAnsiTheme="majorBidi" w:cstheme="majorBidi"/>
                <w:b/>
                <w:bCs/>
                <w:sz w:val="20"/>
              </w:rPr>
              <w:lastRenderedPageBreak/>
              <w:t>Atsauces uz stratēģiju</w:t>
            </w:r>
            <w:r w:rsidRPr="00350BDF">
              <w:rPr>
                <w:rFonts w:asciiTheme="majorBidi" w:hAnsiTheme="majorBidi" w:cstheme="majorBidi"/>
                <w:sz w:val="20"/>
              </w:rPr>
              <w:br/>
              <w:t>Lpp. 29 — Stratēģijas ieviešanas uzraudzība un izvērtēšana</w:t>
            </w:r>
            <w:r w:rsidRPr="00350BDF">
              <w:rPr>
                <w:rFonts w:asciiTheme="majorBidi" w:hAnsiTheme="majorBidi" w:cstheme="majorBidi"/>
                <w:sz w:val="20"/>
              </w:rPr>
              <w:br/>
              <w:t>“Regulārs un sistemātisks Stratēģijas ieviešanas progresa pārskats tiks veikts Stratēģijas 1. rīcības virzienā definētajā Nacionālajā datu padomē, ne retāk kā reizi gadā”</w:t>
            </w:r>
            <w:r w:rsidRPr="00350BDF">
              <w:rPr>
                <w:rFonts w:asciiTheme="majorBidi" w:hAnsiTheme="majorBidi" w:cstheme="majorBidi"/>
                <w:sz w:val="20"/>
              </w:rPr>
              <w:br/>
              <w:t>Lpp. 29 — Stratēģijas ieviešanas uzraudzība un izvērtēšana</w:t>
            </w:r>
            <w:r w:rsidRPr="00350BDF">
              <w:rPr>
                <w:rFonts w:asciiTheme="majorBidi" w:hAnsiTheme="majorBidi" w:cstheme="majorBidi"/>
                <w:sz w:val="20"/>
              </w:rPr>
              <w:br/>
              <w:t>“VARAM sadarbībā ar visām iesaistītajām institūcijām līdz 2030. gada 1. maijam iesniedz MK informatīvo ziņojumu par Stratēģijas uzdevumu īstenošanas novērtējumu, iekļaujot priekšlikumus turpmākajam plānošanas periodam”</w:t>
            </w:r>
          </w:p>
        </w:tc>
        <w:tc>
          <w:tcPr>
            <w:tcW w:w="1650" w:type="dxa"/>
            <w:shd w:val="clear" w:color="auto" w:fill="FFFFFF"/>
            <w:noWrap/>
            <w:tcMar>
              <w:top w:w="75" w:type="dxa"/>
              <w:left w:w="75" w:type="dxa"/>
              <w:bottom w:w="75" w:type="dxa"/>
              <w:right w:w="75" w:type="dxa"/>
            </w:tcMar>
            <w:vAlign w:val="center"/>
          </w:tcPr>
          <w:p w14:paraId="546A626F" w14:textId="712FE539" w:rsidR="00D56FFC" w:rsidRPr="001B2C8F" w:rsidRDefault="004666AD">
            <w:pPr>
              <w:jc w:val="left"/>
              <w:rPr>
                <w:rFonts w:asciiTheme="majorBidi" w:hAnsiTheme="majorBidi" w:cstheme="majorBidi"/>
                <w:sz w:val="20"/>
              </w:rPr>
            </w:pPr>
            <w:r>
              <w:rPr>
                <w:rFonts w:asciiTheme="majorBidi" w:hAnsiTheme="majorBidi" w:cstheme="majorBidi"/>
                <w:sz w:val="20"/>
              </w:rPr>
              <w:lastRenderedPageBreak/>
              <w:t>Nav ņemts vērā</w:t>
            </w:r>
          </w:p>
        </w:tc>
        <w:tc>
          <w:tcPr>
            <w:tcW w:w="4056" w:type="dxa"/>
            <w:shd w:val="clear" w:color="auto" w:fill="FFFFFF"/>
            <w:noWrap/>
            <w:tcMar>
              <w:top w:w="75" w:type="dxa"/>
              <w:left w:w="75" w:type="dxa"/>
              <w:bottom w:w="75" w:type="dxa"/>
              <w:right w:w="75" w:type="dxa"/>
            </w:tcMar>
            <w:vAlign w:val="center"/>
          </w:tcPr>
          <w:p w14:paraId="2E69EA5F" w14:textId="77777777" w:rsidR="00BE3005" w:rsidRPr="00BE3005" w:rsidRDefault="00BE3005" w:rsidP="00BE3005">
            <w:pPr>
              <w:jc w:val="left"/>
              <w:rPr>
                <w:rFonts w:asciiTheme="majorBidi" w:hAnsiTheme="majorBidi" w:cstheme="majorBidi"/>
                <w:sz w:val="20"/>
              </w:rPr>
            </w:pPr>
            <w:r w:rsidRPr="00BE3005">
              <w:rPr>
                <w:rFonts w:asciiTheme="majorBidi" w:hAnsiTheme="majorBidi" w:cstheme="majorBidi"/>
                <w:sz w:val="20"/>
              </w:rPr>
              <w:t xml:space="preserve">Stratēģija paredz regulāru tās ieviešanas uzraudzību un izvērtēšanu Nacionālajā datu padomē vismaz reizi gadā, kā arī noslēguma </w:t>
            </w:r>
            <w:proofErr w:type="spellStart"/>
            <w:r w:rsidRPr="00BE3005">
              <w:rPr>
                <w:rFonts w:asciiTheme="majorBidi" w:hAnsiTheme="majorBidi" w:cstheme="majorBidi"/>
                <w:sz w:val="20"/>
              </w:rPr>
              <w:t>izvērtējumu</w:t>
            </w:r>
            <w:proofErr w:type="spellEnd"/>
            <w:r w:rsidRPr="00BE3005">
              <w:rPr>
                <w:rFonts w:asciiTheme="majorBidi" w:hAnsiTheme="majorBidi" w:cstheme="majorBidi"/>
                <w:sz w:val="20"/>
              </w:rPr>
              <w:t xml:space="preserve"> 2030. gadā, kas nodrošina iespēju identificēt nepieciešamās izmaiņas stratēģiskā līmenī.</w:t>
            </w:r>
          </w:p>
          <w:p w14:paraId="30510984" w14:textId="77777777" w:rsidR="00BE3005" w:rsidRPr="00BE3005" w:rsidRDefault="00BE3005" w:rsidP="00BE3005">
            <w:pPr>
              <w:jc w:val="left"/>
              <w:rPr>
                <w:rFonts w:asciiTheme="majorBidi" w:hAnsiTheme="majorBidi" w:cstheme="majorBidi"/>
                <w:sz w:val="20"/>
              </w:rPr>
            </w:pPr>
            <w:r w:rsidRPr="00BE3005">
              <w:rPr>
                <w:rFonts w:asciiTheme="majorBidi" w:hAnsiTheme="majorBidi" w:cstheme="majorBidi"/>
                <w:sz w:val="20"/>
              </w:rPr>
              <w:t>Jāuzsver, ka MI rīcības virziens stratēģijā nav atsevišķa autonoma stratēģija, bet horizontāls attīstības elements, kas integrēts kopējā datu pārvaldības ietvarā. Līdz ar to tā aktualizācija tiek nodrošināta vispārējā stratēģijas pārvaldības un uzraudzības mehānisma ietvaros.</w:t>
            </w:r>
          </w:p>
          <w:p w14:paraId="104F1E8F" w14:textId="77777777" w:rsidR="00D56FFC" w:rsidRPr="001B2C8F" w:rsidRDefault="00D56FFC">
            <w:pPr>
              <w:jc w:val="left"/>
              <w:rPr>
                <w:rFonts w:asciiTheme="majorBidi" w:hAnsiTheme="majorBidi" w:cstheme="majorBidi"/>
                <w:sz w:val="20"/>
              </w:rPr>
            </w:pPr>
          </w:p>
        </w:tc>
      </w:tr>
      <w:tr w:rsidR="00D56FFC" w:rsidRPr="001B2C8F" w14:paraId="776CB8F7" w14:textId="77777777" w:rsidTr="00F140DC">
        <w:tc>
          <w:tcPr>
            <w:tcW w:w="1695" w:type="dxa"/>
            <w:shd w:val="clear" w:color="auto" w:fill="FFFFFF"/>
            <w:noWrap/>
            <w:tcMar>
              <w:top w:w="75" w:type="dxa"/>
              <w:left w:w="75" w:type="dxa"/>
              <w:bottom w:w="75" w:type="dxa"/>
              <w:right w:w="75" w:type="dxa"/>
            </w:tcMar>
            <w:vAlign w:val="center"/>
          </w:tcPr>
          <w:p w14:paraId="069A56E2" w14:textId="517406FC" w:rsidR="00D56FFC" w:rsidRPr="001B2C8F" w:rsidRDefault="00EC41BF" w:rsidP="00EC41BF">
            <w:pPr>
              <w:jc w:val="center"/>
              <w:rPr>
                <w:rFonts w:asciiTheme="majorBidi" w:hAnsiTheme="majorBidi" w:cstheme="majorBidi"/>
                <w:sz w:val="20"/>
              </w:rPr>
            </w:pPr>
            <w:r w:rsidRPr="00EC41BF">
              <w:rPr>
                <w:rFonts w:asciiTheme="majorBidi" w:hAnsiTheme="majorBidi" w:cstheme="majorBidi"/>
                <w:sz w:val="20"/>
              </w:rPr>
              <w:t>26-TA-347/5</w:t>
            </w:r>
          </w:p>
        </w:tc>
        <w:tc>
          <w:tcPr>
            <w:tcW w:w="3110" w:type="dxa"/>
            <w:shd w:val="clear" w:color="auto" w:fill="FFFFFF"/>
            <w:noWrap/>
            <w:tcMar>
              <w:top w:w="75" w:type="dxa"/>
              <w:left w:w="75" w:type="dxa"/>
              <w:bottom w:w="75" w:type="dxa"/>
              <w:right w:w="75" w:type="dxa"/>
            </w:tcMar>
            <w:vAlign w:val="center"/>
          </w:tcPr>
          <w:p w14:paraId="0BEC61CF" w14:textId="77777777" w:rsidR="008D4E8D" w:rsidRPr="008D4E8D" w:rsidRDefault="008D4E8D" w:rsidP="008D4E8D">
            <w:pPr>
              <w:jc w:val="left"/>
              <w:rPr>
                <w:rFonts w:asciiTheme="majorBidi" w:hAnsiTheme="majorBidi" w:cstheme="majorBidi"/>
                <w:sz w:val="20"/>
              </w:rPr>
            </w:pPr>
            <w:r w:rsidRPr="008D4E8D">
              <w:rPr>
                <w:rFonts w:asciiTheme="majorBidi" w:hAnsiTheme="majorBidi" w:cstheme="majorBidi"/>
                <w:sz w:val="20"/>
              </w:rPr>
              <w:t>iedzīvotāji, uzņēmumi, pētnieki</w:t>
            </w:r>
          </w:p>
          <w:p w14:paraId="6A03DFE9" w14:textId="77777777" w:rsidR="00D56FFC" w:rsidRPr="001B2C8F" w:rsidRDefault="00D56FFC">
            <w:pPr>
              <w:jc w:val="left"/>
              <w:rPr>
                <w:rFonts w:asciiTheme="majorBidi" w:hAnsiTheme="majorBidi" w:cstheme="majorBidi"/>
                <w:sz w:val="20"/>
              </w:rPr>
            </w:pPr>
          </w:p>
        </w:tc>
        <w:tc>
          <w:tcPr>
            <w:tcW w:w="4056" w:type="dxa"/>
            <w:shd w:val="clear" w:color="auto" w:fill="FFFFFF"/>
            <w:noWrap/>
            <w:tcMar>
              <w:top w:w="75" w:type="dxa"/>
              <w:left w:w="75" w:type="dxa"/>
              <w:bottom w:w="75" w:type="dxa"/>
              <w:right w:w="75" w:type="dxa"/>
            </w:tcMar>
            <w:vAlign w:val="center"/>
          </w:tcPr>
          <w:p w14:paraId="31B1D63F" w14:textId="274052A8" w:rsidR="00D56FFC" w:rsidRPr="001B2C8F" w:rsidRDefault="002E5DC5" w:rsidP="002E5DC5">
            <w:pPr>
              <w:jc w:val="left"/>
              <w:rPr>
                <w:rFonts w:asciiTheme="majorBidi" w:hAnsiTheme="majorBidi" w:cstheme="majorBidi"/>
                <w:sz w:val="20"/>
              </w:rPr>
            </w:pPr>
            <w:r w:rsidRPr="002E5DC5">
              <w:rPr>
                <w:rFonts w:asciiTheme="majorBidi" w:hAnsiTheme="majorBidi" w:cstheme="majorBidi"/>
                <w:b/>
                <w:bCs/>
                <w:sz w:val="20"/>
              </w:rPr>
              <w:t>Privātā sektora piekļuve valsts datiem MI vajadzībām ir deklaratīva — konkrēta mehānisma nav</w:t>
            </w:r>
            <w:r w:rsidRPr="002E5DC5">
              <w:rPr>
                <w:rFonts w:asciiTheme="majorBidi" w:hAnsiTheme="majorBidi" w:cstheme="majorBidi"/>
                <w:sz w:val="20"/>
              </w:rPr>
              <w:br/>
            </w:r>
            <w:r w:rsidRPr="002E5DC5">
              <w:rPr>
                <w:rFonts w:asciiTheme="majorBidi" w:hAnsiTheme="majorBidi" w:cstheme="majorBidi"/>
                <w:sz w:val="20"/>
              </w:rPr>
              <w:br/>
            </w:r>
            <w:r w:rsidRPr="002E5DC5">
              <w:rPr>
                <w:rFonts w:asciiTheme="majorBidi" w:hAnsiTheme="majorBidi" w:cstheme="majorBidi"/>
                <w:b/>
                <w:bCs/>
                <w:sz w:val="20"/>
              </w:rPr>
              <w:t>Iebildums / trūkums</w:t>
            </w:r>
            <w:r w:rsidRPr="002E5DC5">
              <w:rPr>
                <w:rFonts w:asciiTheme="majorBidi" w:hAnsiTheme="majorBidi" w:cstheme="majorBidi"/>
                <w:sz w:val="20"/>
              </w:rPr>
              <w:br/>
              <w:t xml:space="preserve">Stratēģija vairākkārt atkārto, ka valsts datiem jābūt pieejamiem privātā sektora MI inovācijām un Datu laboratorija ir domāta arī uzņēmumiem un </w:t>
            </w:r>
            <w:proofErr w:type="spellStart"/>
            <w:r w:rsidRPr="002E5DC5">
              <w:rPr>
                <w:rFonts w:asciiTheme="majorBidi" w:hAnsiTheme="majorBidi" w:cstheme="majorBidi"/>
                <w:sz w:val="20"/>
              </w:rPr>
              <w:t>jaunuzņēmumiem</w:t>
            </w:r>
            <w:proofErr w:type="spellEnd"/>
            <w:r w:rsidRPr="002E5DC5">
              <w:rPr>
                <w:rFonts w:asciiTheme="majorBidi" w:hAnsiTheme="majorBidi" w:cstheme="majorBidi"/>
                <w:sz w:val="20"/>
              </w:rPr>
              <w:t>. Tomēr stratēģijā nav definēts neviens praktisks mehānisms: nav skaidrs, kā uzņēmums piesakās, kas izskata pieprasījumu, kādos termiņos, pēc kādiem kritērijiem piešķir vai atsaka piekļuvi.</w:t>
            </w:r>
            <w:r w:rsidRPr="002E5DC5">
              <w:rPr>
                <w:rFonts w:asciiTheme="majorBidi" w:hAnsiTheme="majorBidi" w:cstheme="majorBidi"/>
                <w:sz w:val="20"/>
              </w:rPr>
              <w:br/>
              <w:t>Bez šāda mehānisma Datu laboratorija riskē palikt kā valsts iekšēja infrastruktūra, nevis kā ekosistēmas centrs — pretēji stratēģijā deklarētajam mērķim.</w:t>
            </w:r>
            <w:r w:rsidRPr="002E5DC5">
              <w:rPr>
                <w:rFonts w:asciiTheme="majorBidi" w:hAnsiTheme="majorBidi" w:cstheme="majorBidi"/>
                <w:sz w:val="20"/>
              </w:rPr>
              <w:br/>
            </w:r>
            <w:r w:rsidRPr="002E5DC5">
              <w:rPr>
                <w:rFonts w:asciiTheme="majorBidi" w:hAnsiTheme="majorBidi" w:cstheme="majorBidi"/>
                <w:b/>
                <w:bCs/>
                <w:sz w:val="20"/>
              </w:rPr>
              <w:lastRenderedPageBreak/>
              <w:t>Ierosinājums / priekšlikums</w:t>
            </w:r>
            <w:r w:rsidRPr="002E5DC5">
              <w:rPr>
                <w:rFonts w:asciiTheme="majorBidi" w:hAnsiTheme="majorBidi" w:cstheme="majorBidi"/>
                <w:sz w:val="20"/>
              </w:rPr>
              <w:br/>
              <w:t>Jāparedz konkrēts uzdevums VARAM un VDAA: līdz 2027. gadam izstrādāt un publicēt "Datu piekļuves pakalpojumu uzņēmumiem" — tostarp pieteikuma iesniegšanas procedūru, lēmuma pieņemšanas termiņus (ieteicams 30 darba dienas), izvērtēšanas kritērijus (lietojuma mērķis, datu drošība, MI ētikas atbilstība) un pārsūdzēšanas kārtību. Jānosaka arī, vai piekļuve ir bezmaksas vai maksas pakalpojums.</w:t>
            </w:r>
            <w:r w:rsidRPr="002E5DC5">
              <w:rPr>
                <w:rFonts w:asciiTheme="majorBidi" w:hAnsiTheme="majorBidi" w:cstheme="majorBidi"/>
                <w:sz w:val="20"/>
              </w:rPr>
              <w:br/>
            </w:r>
            <w:r w:rsidRPr="002E5DC5">
              <w:rPr>
                <w:rFonts w:asciiTheme="majorBidi" w:hAnsiTheme="majorBidi" w:cstheme="majorBidi"/>
                <w:sz w:val="20"/>
              </w:rPr>
              <w:br/>
            </w:r>
            <w:r w:rsidRPr="002E5DC5">
              <w:rPr>
                <w:rFonts w:asciiTheme="majorBidi" w:hAnsiTheme="majorBidi" w:cstheme="majorBidi"/>
                <w:b/>
                <w:bCs/>
                <w:sz w:val="20"/>
              </w:rPr>
              <w:t>Atsauces uz stratēģiju</w:t>
            </w:r>
            <w:r w:rsidRPr="002E5DC5">
              <w:rPr>
                <w:rFonts w:asciiTheme="majorBidi" w:hAnsiTheme="majorBidi" w:cstheme="majorBidi"/>
                <w:sz w:val="20"/>
              </w:rPr>
              <w:br/>
              <w:t>Lpp. 9 — Ievads — ES konteksts un identificētās nepilnības</w:t>
            </w:r>
            <w:r w:rsidRPr="002E5DC5">
              <w:rPr>
                <w:rFonts w:asciiTheme="majorBidi" w:hAnsiTheme="majorBidi" w:cstheme="majorBidi"/>
                <w:sz w:val="20"/>
              </w:rPr>
              <w:br/>
              <w:t>“publiskā sektora rīcībā pieejams liels augstvērtīgo datu kopu apjoms, taču nav izveidotas procedūras, kuru ietvaros šos datus varētu drošā veidā nodot tirgus dalībniekiem turpmāku inovāciju radīšanai sevišķi MI jomā”</w:t>
            </w:r>
            <w:r w:rsidRPr="002E5DC5">
              <w:rPr>
                <w:rFonts w:asciiTheme="majorBidi" w:hAnsiTheme="majorBidi" w:cstheme="majorBidi"/>
                <w:sz w:val="20"/>
              </w:rPr>
              <w:br/>
              <w:t>Lpp. 15 — Uzdevuma 1.3. mērķis</w:t>
            </w:r>
            <w:r w:rsidRPr="002E5DC5">
              <w:rPr>
                <w:rFonts w:asciiTheme="majorBidi" w:hAnsiTheme="majorBidi" w:cstheme="majorBidi"/>
                <w:sz w:val="20"/>
              </w:rPr>
              <w:br/>
              <w:t>“nodrošināt valsts pārvaldes iestādēm un privātā sektora pārstāvjiem atbalstu attīstot datos balstītas inovācijas un pakalpojumus (datu telpas). Vienlaikus nodrošinot atbalstu MI risinājumu un datu analītikas jomās”</w:t>
            </w:r>
            <w:r w:rsidRPr="002E5DC5">
              <w:rPr>
                <w:rFonts w:asciiTheme="majorBidi" w:hAnsiTheme="majorBidi" w:cstheme="majorBidi"/>
                <w:sz w:val="20"/>
              </w:rPr>
              <w:br/>
              <w:t>Lpp. 15 — Datu laboratorijas uzdevumi</w:t>
            </w:r>
            <w:r w:rsidRPr="002E5DC5">
              <w:rPr>
                <w:rFonts w:asciiTheme="majorBidi" w:hAnsiTheme="majorBidi" w:cstheme="majorBidi"/>
                <w:sz w:val="20"/>
              </w:rPr>
              <w:br/>
              <w:t xml:space="preserve">“Veicināt drošu datu piekļuvi </w:t>
            </w:r>
            <w:proofErr w:type="spellStart"/>
            <w:r w:rsidRPr="002E5DC5">
              <w:rPr>
                <w:rFonts w:asciiTheme="majorBidi" w:hAnsiTheme="majorBidi" w:cstheme="majorBidi"/>
                <w:sz w:val="20"/>
              </w:rPr>
              <w:t>jaunuzņēmumiem</w:t>
            </w:r>
            <w:proofErr w:type="spellEnd"/>
            <w:r w:rsidRPr="002E5DC5">
              <w:rPr>
                <w:rFonts w:asciiTheme="majorBidi" w:hAnsiTheme="majorBidi" w:cstheme="majorBidi"/>
                <w:sz w:val="20"/>
              </w:rPr>
              <w:t>, MVU un pētniecībai, izmantojot datu laboratoriju infrastruktūru un atbalsta mehānismus”</w:t>
            </w:r>
          </w:p>
        </w:tc>
        <w:tc>
          <w:tcPr>
            <w:tcW w:w="1650" w:type="dxa"/>
            <w:shd w:val="clear" w:color="auto" w:fill="FFFFFF"/>
            <w:noWrap/>
            <w:tcMar>
              <w:top w:w="75" w:type="dxa"/>
              <w:left w:w="75" w:type="dxa"/>
              <w:bottom w:w="75" w:type="dxa"/>
              <w:right w:w="75" w:type="dxa"/>
            </w:tcMar>
            <w:vAlign w:val="center"/>
          </w:tcPr>
          <w:p w14:paraId="0E74F83F" w14:textId="6D79A40B" w:rsidR="00D56FFC" w:rsidRPr="001B2C8F" w:rsidRDefault="00527EB4">
            <w:pPr>
              <w:jc w:val="left"/>
              <w:rPr>
                <w:rFonts w:asciiTheme="majorBidi" w:hAnsiTheme="majorBidi" w:cstheme="majorBidi"/>
                <w:sz w:val="20"/>
              </w:rPr>
            </w:pPr>
            <w:r>
              <w:rPr>
                <w:rFonts w:asciiTheme="majorBidi" w:hAnsiTheme="majorBidi" w:cstheme="majorBidi"/>
                <w:sz w:val="20"/>
              </w:rPr>
              <w:lastRenderedPageBreak/>
              <w:t>Daļēji ņemts vērā</w:t>
            </w:r>
          </w:p>
        </w:tc>
        <w:tc>
          <w:tcPr>
            <w:tcW w:w="4056" w:type="dxa"/>
            <w:shd w:val="clear" w:color="auto" w:fill="FFFFFF"/>
            <w:noWrap/>
            <w:tcMar>
              <w:top w:w="75" w:type="dxa"/>
              <w:left w:w="75" w:type="dxa"/>
              <w:bottom w:w="75" w:type="dxa"/>
              <w:right w:w="75" w:type="dxa"/>
            </w:tcMar>
            <w:vAlign w:val="center"/>
          </w:tcPr>
          <w:p w14:paraId="386435B2" w14:textId="2D8FAE8A" w:rsidR="00D56FFC" w:rsidRPr="001B2C8F" w:rsidRDefault="00FE3EA4">
            <w:pPr>
              <w:jc w:val="left"/>
              <w:rPr>
                <w:rFonts w:asciiTheme="majorBidi" w:hAnsiTheme="majorBidi" w:cstheme="majorBidi"/>
                <w:sz w:val="20"/>
              </w:rPr>
            </w:pPr>
            <w:r>
              <w:rPr>
                <w:rFonts w:asciiTheme="majorBidi" w:hAnsiTheme="majorBidi" w:cstheme="majorBidi"/>
                <w:sz w:val="20"/>
              </w:rPr>
              <w:t>Vēršam uzmanību, k</w:t>
            </w:r>
            <w:r w:rsidR="00611CBC">
              <w:rPr>
                <w:rFonts w:asciiTheme="majorBidi" w:hAnsiTheme="majorBidi" w:cstheme="majorBidi"/>
                <w:sz w:val="20"/>
              </w:rPr>
              <w:t>a sabiedrībai piekļuve valsts rīcībā esošajiem aizsargātajiem datiem tiks nodrošināta caur CSP</w:t>
            </w:r>
            <w:r w:rsidR="00453AB2">
              <w:rPr>
                <w:rFonts w:asciiTheme="majorBidi" w:hAnsiTheme="majorBidi" w:cstheme="majorBidi"/>
                <w:sz w:val="20"/>
              </w:rPr>
              <w:t xml:space="preserve"> – drošo datu apstrādes vidi, līdzīgi, kā tas jau paredzēts MI centra darbības gadījumā, Papildus iepriekš minētajam vēršam uzmanību, ka stratēģijas mērķis ir veicināt </w:t>
            </w:r>
            <w:r w:rsidR="00D5273D">
              <w:rPr>
                <w:rFonts w:asciiTheme="majorBidi" w:hAnsiTheme="majorBidi" w:cstheme="majorBidi"/>
                <w:sz w:val="20"/>
              </w:rPr>
              <w:t xml:space="preserve">inovatīvu produktu t.sk., MI </w:t>
            </w:r>
            <w:proofErr w:type="spellStart"/>
            <w:r w:rsidR="00D5273D">
              <w:rPr>
                <w:rFonts w:asciiTheme="majorBidi" w:hAnsiTheme="majorBidi" w:cstheme="majorBidi"/>
                <w:sz w:val="20"/>
              </w:rPr>
              <w:t>risinājmu</w:t>
            </w:r>
            <w:proofErr w:type="spellEnd"/>
            <w:r w:rsidR="00D5273D">
              <w:rPr>
                <w:rFonts w:asciiTheme="majorBidi" w:hAnsiTheme="majorBidi" w:cstheme="majorBidi"/>
                <w:sz w:val="20"/>
              </w:rPr>
              <w:t xml:space="preserve"> attīstību caur drošo vidi.</w:t>
            </w:r>
          </w:p>
        </w:tc>
      </w:tr>
      <w:tr w:rsidR="00D56FFC" w:rsidRPr="001B2C8F" w14:paraId="428B795C" w14:textId="77777777" w:rsidTr="00F140DC">
        <w:tc>
          <w:tcPr>
            <w:tcW w:w="1695" w:type="dxa"/>
            <w:shd w:val="clear" w:color="auto" w:fill="FFFFFF"/>
            <w:noWrap/>
            <w:tcMar>
              <w:top w:w="75" w:type="dxa"/>
              <w:left w:w="75" w:type="dxa"/>
              <w:bottom w:w="75" w:type="dxa"/>
              <w:right w:w="75" w:type="dxa"/>
            </w:tcMar>
            <w:vAlign w:val="center"/>
          </w:tcPr>
          <w:p w14:paraId="7864DF3D" w14:textId="1477E47A" w:rsidR="00D56FFC" w:rsidRPr="001B2C8F" w:rsidRDefault="00645CC2" w:rsidP="00645CC2">
            <w:pPr>
              <w:jc w:val="center"/>
              <w:rPr>
                <w:rFonts w:asciiTheme="majorBidi" w:hAnsiTheme="majorBidi" w:cstheme="majorBidi"/>
                <w:sz w:val="20"/>
              </w:rPr>
            </w:pPr>
            <w:r w:rsidRPr="00645CC2">
              <w:rPr>
                <w:rFonts w:asciiTheme="majorBidi" w:hAnsiTheme="majorBidi" w:cstheme="majorBidi"/>
                <w:sz w:val="20"/>
              </w:rPr>
              <w:t>26-TA-347/6</w:t>
            </w:r>
          </w:p>
        </w:tc>
        <w:tc>
          <w:tcPr>
            <w:tcW w:w="3110" w:type="dxa"/>
            <w:shd w:val="clear" w:color="auto" w:fill="FFFFFF"/>
            <w:noWrap/>
            <w:tcMar>
              <w:top w:w="75" w:type="dxa"/>
              <w:left w:w="75" w:type="dxa"/>
              <w:bottom w:w="75" w:type="dxa"/>
              <w:right w:w="75" w:type="dxa"/>
            </w:tcMar>
            <w:vAlign w:val="center"/>
          </w:tcPr>
          <w:p w14:paraId="72989673" w14:textId="77777777" w:rsidR="003D01BC" w:rsidRPr="003D01BC" w:rsidRDefault="003D01BC" w:rsidP="003D01BC">
            <w:pPr>
              <w:jc w:val="left"/>
              <w:rPr>
                <w:rFonts w:asciiTheme="majorBidi" w:hAnsiTheme="majorBidi" w:cstheme="majorBidi"/>
                <w:sz w:val="20"/>
              </w:rPr>
            </w:pPr>
            <w:r w:rsidRPr="003D01BC">
              <w:rPr>
                <w:rFonts w:asciiTheme="majorBidi" w:hAnsiTheme="majorBidi" w:cstheme="majorBidi"/>
                <w:sz w:val="20"/>
              </w:rPr>
              <w:t>iedzīvotāji, uzņēmumi, pētnieki</w:t>
            </w:r>
          </w:p>
          <w:p w14:paraId="50D51A79" w14:textId="77777777" w:rsidR="00D56FFC" w:rsidRPr="001B2C8F" w:rsidRDefault="00D56FFC">
            <w:pPr>
              <w:jc w:val="left"/>
              <w:rPr>
                <w:rFonts w:asciiTheme="majorBidi" w:hAnsiTheme="majorBidi" w:cstheme="majorBidi"/>
                <w:sz w:val="20"/>
              </w:rPr>
            </w:pPr>
          </w:p>
        </w:tc>
        <w:tc>
          <w:tcPr>
            <w:tcW w:w="4056" w:type="dxa"/>
            <w:shd w:val="clear" w:color="auto" w:fill="FFFFFF"/>
            <w:noWrap/>
            <w:tcMar>
              <w:top w:w="75" w:type="dxa"/>
              <w:left w:w="75" w:type="dxa"/>
              <w:bottom w:w="75" w:type="dxa"/>
              <w:right w:w="75" w:type="dxa"/>
            </w:tcMar>
            <w:vAlign w:val="center"/>
          </w:tcPr>
          <w:p w14:paraId="1A6582C7" w14:textId="7BC05430" w:rsidR="00D56FFC" w:rsidRPr="001B2C8F" w:rsidRDefault="00595CE1" w:rsidP="00595CE1">
            <w:pPr>
              <w:jc w:val="left"/>
              <w:rPr>
                <w:rFonts w:asciiTheme="majorBidi" w:hAnsiTheme="majorBidi" w:cstheme="majorBidi"/>
                <w:sz w:val="20"/>
              </w:rPr>
            </w:pPr>
            <w:r w:rsidRPr="00595CE1">
              <w:rPr>
                <w:rFonts w:asciiTheme="majorBidi" w:hAnsiTheme="majorBidi" w:cstheme="majorBidi"/>
                <w:b/>
                <w:bCs/>
                <w:sz w:val="20"/>
              </w:rPr>
              <w:t xml:space="preserve">Cilvēkresursu un kompetences trūkums ir atzīts, bet nav risināts ar konkrētiem </w:t>
            </w:r>
            <w:r w:rsidRPr="00595CE1">
              <w:rPr>
                <w:rFonts w:asciiTheme="majorBidi" w:hAnsiTheme="majorBidi" w:cstheme="majorBidi"/>
                <w:b/>
                <w:bCs/>
                <w:sz w:val="20"/>
              </w:rPr>
              <w:lastRenderedPageBreak/>
              <w:t>pasākumiem</w:t>
            </w:r>
            <w:r w:rsidRPr="00595CE1">
              <w:rPr>
                <w:rFonts w:asciiTheme="majorBidi" w:hAnsiTheme="majorBidi" w:cstheme="majorBidi"/>
                <w:sz w:val="20"/>
              </w:rPr>
              <w:br/>
            </w:r>
            <w:r w:rsidRPr="00595CE1">
              <w:rPr>
                <w:rFonts w:asciiTheme="majorBidi" w:hAnsiTheme="majorBidi" w:cstheme="majorBidi"/>
                <w:sz w:val="20"/>
              </w:rPr>
              <w:br/>
            </w:r>
            <w:r w:rsidRPr="00595CE1">
              <w:rPr>
                <w:rFonts w:asciiTheme="majorBidi" w:hAnsiTheme="majorBidi" w:cstheme="majorBidi"/>
                <w:b/>
                <w:bCs/>
                <w:sz w:val="20"/>
              </w:rPr>
              <w:t>Iebildums / trūkums</w:t>
            </w:r>
            <w:r w:rsidRPr="00595CE1">
              <w:rPr>
                <w:rFonts w:asciiTheme="majorBidi" w:hAnsiTheme="majorBidi" w:cstheme="majorBidi"/>
                <w:sz w:val="20"/>
              </w:rPr>
              <w:br/>
              <w:t xml:space="preserve">Stratēģija atklāti atzīst: lielākajā daļā iestāžu datu pārvaldības kompetenču nav un valsts pārvaldē notiek personāla samazināšana, bet vienlaikus tiek radītas jaunas funkcijas (MI </w:t>
            </w:r>
            <w:proofErr w:type="spellStart"/>
            <w:r w:rsidRPr="00595CE1">
              <w:rPr>
                <w:rFonts w:asciiTheme="majorBidi" w:hAnsiTheme="majorBidi" w:cstheme="majorBidi"/>
                <w:sz w:val="20"/>
              </w:rPr>
              <w:t>sandbox</w:t>
            </w:r>
            <w:proofErr w:type="spellEnd"/>
            <w:r w:rsidRPr="00595CE1">
              <w:rPr>
                <w:rFonts w:asciiTheme="majorBidi" w:hAnsiTheme="majorBidi" w:cstheme="majorBidi"/>
                <w:sz w:val="20"/>
              </w:rPr>
              <w:t>, datu laboratorija, metadatu standarts). Šī pretruna stratēģijā ir nosaukta par "vienu no būtiskākajiem izaicinājumiem", taču rīcības plānā nav neviena pasākuma, kas to tiešā veidā risinātu.</w:t>
            </w:r>
            <w:r w:rsidRPr="00595CE1">
              <w:rPr>
                <w:rFonts w:asciiTheme="majorBidi" w:hAnsiTheme="majorBidi" w:cstheme="majorBidi"/>
                <w:sz w:val="20"/>
              </w:rPr>
              <w:br/>
              <w:t>Rīcības plānā paredzētais — grozījumi Profesiju klasifikatorā līdz 2027. gadam un iestāžu pienākums ieviest datu pārvaldības funkciju līdz 2030. gadam — ir normatīvs solis, kas nerisina nekavējoties pieejamo cilvēkresursu problēmu.</w:t>
            </w:r>
            <w:r w:rsidRPr="00595CE1">
              <w:rPr>
                <w:rFonts w:asciiTheme="majorBidi" w:hAnsiTheme="majorBidi" w:cstheme="majorBidi"/>
                <w:sz w:val="20"/>
              </w:rPr>
              <w:br/>
            </w:r>
            <w:r w:rsidRPr="00595CE1">
              <w:rPr>
                <w:rFonts w:asciiTheme="majorBidi" w:hAnsiTheme="majorBidi" w:cstheme="majorBidi"/>
                <w:sz w:val="20"/>
              </w:rPr>
              <w:br/>
            </w:r>
            <w:r w:rsidRPr="00595CE1">
              <w:rPr>
                <w:rFonts w:asciiTheme="majorBidi" w:hAnsiTheme="majorBidi" w:cstheme="majorBidi"/>
                <w:b/>
                <w:bCs/>
                <w:sz w:val="20"/>
              </w:rPr>
              <w:t>Ierosinājums / priekšlikums</w:t>
            </w:r>
            <w:r w:rsidRPr="00595CE1">
              <w:rPr>
                <w:rFonts w:asciiTheme="majorBidi" w:hAnsiTheme="majorBidi" w:cstheme="majorBidi"/>
                <w:sz w:val="20"/>
              </w:rPr>
              <w:br/>
              <w:t xml:space="preserve">Stratēģijā jāparedz konkrēts, īstermiņā </w:t>
            </w:r>
            <w:proofErr w:type="spellStart"/>
            <w:r w:rsidRPr="00595CE1">
              <w:rPr>
                <w:rFonts w:asciiTheme="majorBidi" w:hAnsiTheme="majorBidi" w:cstheme="majorBidi"/>
                <w:sz w:val="20"/>
              </w:rPr>
              <w:t>darbojošs</w:t>
            </w:r>
            <w:proofErr w:type="spellEnd"/>
            <w:r w:rsidRPr="00595CE1">
              <w:rPr>
                <w:rFonts w:asciiTheme="majorBidi" w:hAnsiTheme="majorBidi" w:cstheme="majorBidi"/>
                <w:sz w:val="20"/>
              </w:rPr>
              <w:t xml:space="preserve"> mehānisms, ne tikai normatīvs pienākums. Vismaz viens no šiem:</w:t>
            </w:r>
            <w:r w:rsidRPr="00595CE1">
              <w:rPr>
                <w:rFonts w:asciiTheme="majorBidi" w:hAnsiTheme="majorBidi" w:cstheme="majorBidi"/>
                <w:sz w:val="20"/>
              </w:rPr>
              <w:br/>
              <w:t>(1) centralizēts MI un datu ekspertu kopas (</w:t>
            </w:r>
            <w:proofErr w:type="spellStart"/>
            <w:r w:rsidRPr="00595CE1">
              <w:rPr>
                <w:rFonts w:asciiTheme="majorBidi" w:hAnsiTheme="majorBidi" w:cstheme="majorBidi"/>
                <w:sz w:val="20"/>
              </w:rPr>
              <w:t>shared</w:t>
            </w:r>
            <w:proofErr w:type="spellEnd"/>
            <w:r w:rsidRPr="00595CE1">
              <w:rPr>
                <w:rFonts w:asciiTheme="majorBidi" w:hAnsiTheme="majorBidi" w:cstheme="majorBidi"/>
                <w:sz w:val="20"/>
              </w:rPr>
              <w:t xml:space="preserve"> </w:t>
            </w:r>
            <w:proofErr w:type="spellStart"/>
            <w:r w:rsidRPr="00595CE1">
              <w:rPr>
                <w:rFonts w:asciiTheme="majorBidi" w:hAnsiTheme="majorBidi" w:cstheme="majorBidi"/>
                <w:sz w:val="20"/>
              </w:rPr>
              <w:t>service</w:t>
            </w:r>
            <w:proofErr w:type="spellEnd"/>
            <w:r w:rsidRPr="00595CE1">
              <w:rPr>
                <w:rFonts w:asciiTheme="majorBidi" w:hAnsiTheme="majorBidi" w:cstheme="majorBidi"/>
                <w:sz w:val="20"/>
              </w:rPr>
              <w:t xml:space="preserve"> </w:t>
            </w:r>
            <w:proofErr w:type="spellStart"/>
            <w:r w:rsidRPr="00595CE1">
              <w:rPr>
                <w:rFonts w:asciiTheme="majorBidi" w:hAnsiTheme="majorBidi" w:cstheme="majorBidi"/>
                <w:sz w:val="20"/>
              </w:rPr>
              <w:t>pool</w:t>
            </w:r>
            <w:proofErr w:type="spellEnd"/>
            <w:r w:rsidRPr="00595CE1">
              <w:rPr>
                <w:rFonts w:asciiTheme="majorBidi" w:hAnsiTheme="majorBidi" w:cstheme="majorBidi"/>
                <w:sz w:val="20"/>
              </w:rPr>
              <w:t>) modelis VDAA vai CSP, ko iestādes var piesaistīt projektiem;</w:t>
            </w:r>
            <w:r w:rsidRPr="00595CE1">
              <w:rPr>
                <w:rFonts w:asciiTheme="majorBidi" w:hAnsiTheme="majorBidi" w:cstheme="majorBidi"/>
                <w:sz w:val="20"/>
              </w:rPr>
              <w:br/>
              <w:t>(2) obligāts nosacījums — jebkuras jaunas MI vai datu iniciatīvas uzsākšanai iestādei jāapliecina norīkotais atbildīgais ar konkrētu laika resursu;</w:t>
            </w:r>
            <w:r w:rsidRPr="00595CE1">
              <w:rPr>
                <w:rFonts w:asciiTheme="majorBidi" w:hAnsiTheme="majorBidi" w:cstheme="majorBidi"/>
                <w:sz w:val="20"/>
              </w:rPr>
              <w:br/>
              <w:t xml:space="preserve">(3) VARAM koordinēts apmācību viļņu plāns 2026.–2027. gadam — pirms MI </w:t>
            </w:r>
            <w:proofErr w:type="spellStart"/>
            <w:r w:rsidRPr="00595CE1">
              <w:rPr>
                <w:rFonts w:asciiTheme="majorBidi" w:hAnsiTheme="majorBidi" w:cstheme="majorBidi"/>
                <w:sz w:val="20"/>
              </w:rPr>
              <w:t>sandbox</w:t>
            </w:r>
            <w:proofErr w:type="spellEnd"/>
            <w:r w:rsidRPr="00595CE1">
              <w:rPr>
                <w:rFonts w:asciiTheme="majorBidi" w:hAnsiTheme="majorBidi" w:cstheme="majorBidi"/>
                <w:sz w:val="20"/>
              </w:rPr>
              <w:t xml:space="preserve"> un Datu laboratorijas izveides, nevis pēc tās;</w:t>
            </w:r>
            <w:r w:rsidRPr="00595CE1">
              <w:rPr>
                <w:rFonts w:asciiTheme="majorBidi" w:hAnsiTheme="majorBidi" w:cstheme="majorBidi"/>
                <w:sz w:val="20"/>
              </w:rPr>
              <w:br/>
              <w:t>(4) Cits līdzvērtīgs risinājums.</w:t>
            </w:r>
            <w:r w:rsidRPr="00595CE1">
              <w:rPr>
                <w:rFonts w:asciiTheme="majorBidi" w:hAnsiTheme="majorBidi" w:cstheme="majorBidi"/>
                <w:sz w:val="20"/>
              </w:rPr>
              <w:br/>
            </w:r>
            <w:r w:rsidRPr="00595CE1">
              <w:rPr>
                <w:rFonts w:asciiTheme="majorBidi" w:hAnsiTheme="majorBidi" w:cstheme="majorBidi"/>
                <w:b/>
                <w:bCs/>
                <w:sz w:val="20"/>
              </w:rPr>
              <w:lastRenderedPageBreak/>
              <w:t>Atsauces uz stratēģiju</w:t>
            </w:r>
            <w:r w:rsidRPr="00595CE1">
              <w:rPr>
                <w:rFonts w:asciiTheme="majorBidi" w:hAnsiTheme="majorBidi" w:cstheme="majorBidi"/>
                <w:sz w:val="20"/>
              </w:rPr>
              <w:br/>
              <w:t>Lpp. 30 — Esošās situācijas analīze — 1. Rīcības virziens</w:t>
            </w:r>
            <w:r w:rsidRPr="00595CE1">
              <w:rPr>
                <w:rFonts w:asciiTheme="majorBidi" w:hAnsiTheme="majorBidi" w:cstheme="majorBidi"/>
                <w:sz w:val="20"/>
              </w:rPr>
              <w:br/>
              <w:t>“Lielākajā daļā iestāžu šī kompetence netiek attīstīta, kā rezultātā rodas tehniski izaicinājumi”</w:t>
            </w:r>
            <w:r w:rsidRPr="00595CE1">
              <w:rPr>
                <w:rFonts w:asciiTheme="majorBidi" w:hAnsiTheme="majorBidi" w:cstheme="majorBidi"/>
                <w:sz w:val="20"/>
              </w:rPr>
              <w:br/>
              <w:t>Lpp. 30–31 — Esošās situācijas analīze — 1. Rīcības virziens</w:t>
            </w:r>
            <w:r w:rsidRPr="00595CE1">
              <w:rPr>
                <w:rFonts w:asciiTheme="majorBidi" w:hAnsiTheme="majorBidi" w:cstheme="majorBidi"/>
                <w:sz w:val="20"/>
              </w:rPr>
              <w:br/>
              <w:t xml:space="preserve">“ieviešot jaunas iniciatīvas saistībā ar MI risinājumiem, datu analītiku, birokrātijas mazināšanu kontekstā ar </w:t>
            </w:r>
            <w:proofErr w:type="spellStart"/>
            <w:r w:rsidRPr="00595CE1">
              <w:rPr>
                <w:rFonts w:asciiTheme="majorBidi" w:hAnsiTheme="majorBidi" w:cstheme="majorBidi"/>
                <w:sz w:val="20"/>
              </w:rPr>
              <w:t>starpiestāžu</w:t>
            </w:r>
            <w:proofErr w:type="spellEnd"/>
            <w:r w:rsidRPr="00595CE1">
              <w:rPr>
                <w:rFonts w:asciiTheme="majorBidi" w:hAnsiTheme="majorBidi" w:cstheme="majorBidi"/>
                <w:sz w:val="20"/>
              </w:rPr>
              <w:t xml:space="preserve"> datu apmaiņu”</w:t>
            </w:r>
            <w:r w:rsidRPr="00595CE1">
              <w:rPr>
                <w:rFonts w:asciiTheme="majorBidi" w:hAnsiTheme="majorBidi" w:cstheme="majorBidi"/>
                <w:sz w:val="20"/>
              </w:rPr>
              <w:br/>
              <w:t>Lpp. 31 — Esošās situācijas analīze — 1. Rīcības virziens</w:t>
            </w:r>
            <w:r w:rsidRPr="00595CE1">
              <w:rPr>
                <w:rFonts w:asciiTheme="majorBidi" w:hAnsiTheme="majorBidi" w:cstheme="majorBidi"/>
                <w:sz w:val="20"/>
              </w:rPr>
              <w:br/>
              <w:t>“nepārtraukti noris darbs pie valsts pārvaldes optimizācijas un samazināšanas. Tajā pašā laikā šajā procesā netiek ņemts vērā fakts, ka, atsaucoties uz jaunām ES iniciatīvām un nacionālajām politikas iniciatīvām, tiek radītas jaunas funkcijas”</w:t>
            </w:r>
            <w:r w:rsidRPr="00595CE1">
              <w:rPr>
                <w:rFonts w:asciiTheme="majorBidi" w:hAnsiTheme="majorBidi" w:cstheme="majorBidi"/>
                <w:sz w:val="20"/>
              </w:rPr>
              <w:br/>
              <w:t>Lpp. 35 — Esošās situācijas analīze — 4. Rīcības virziens (OECD ziņojuma citāts)</w:t>
            </w:r>
            <w:r w:rsidRPr="00595CE1">
              <w:rPr>
                <w:rFonts w:asciiTheme="majorBidi" w:hAnsiTheme="majorBidi" w:cstheme="majorBidi"/>
                <w:sz w:val="20"/>
              </w:rPr>
              <w:br/>
              <w:t xml:space="preserve">“izšķiroša ir </w:t>
            </w:r>
            <w:proofErr w:type="spellStart"/>
            <w:r w:rsidRPr="00595CE1">
              <w:rPr>
                <w:rFonts w:asciiTheme="majorBidi" w:hAnsiTheme="majorBidi" w:cstheme="majorBidi"/>
                <w:sz w:val="20"/>
              </w:rPr>
              <w:t>cilvēkkapitāla</w:t>
            </w:r>
            <w:proofErr w:type="spellEnd"/>
            <w:r w:rsidRPr="00595CE1">
              <w:rPr>
                <w:rFonts w:asciiTheme="majorBidi" w:hAnsiTheme="majorBidi" w:cstheme="majorBidi"/>
                <w:sz w:val="20"/>
              </w:rPr>
              <w:t xml:space="preserve"> kapacitāte. Valsts pārvaldē trūkst horizontālu prasmju datu pārvaldībā, un kompetenču līmenis starp iestādēm būtiski atšķiras”</w:t>
            </w:r>
          </w:p>
        </w:tc>
        <w:tc>
          <w:tcPr>
            <w:tcW w:w="1650" w:type="dxa"/>
            <w:shd w:val="clear" w:color="auto" w:fill="FFFFFF"/>
            <w:noWrap/>
            <w:tcMar>
              <w:top w:w="75" w:type="dxa"/>
              <w:left w:w="75" w:type="dxa"/>
              <w:bottom w:w="75" w:type="dxa"/>
              <w:right w:w="75" w:type="dxa"/>
            </w:tcMar>
            <w:vAlign w:val="center"/>
          </w:tcPr>
          <w:p w14:paraId="4356D892" w14:textId="5BB7F924" w:rsidR="00D56FFC" w:rsidRPr="001B2C8F" w:rsidRDefault="008B4F1B">
            <w:pPr>
              <w:jc w:val="left"/>
              <w:rPr>
                <w:rFonts w:asciiTheme="majorBidi" w:hAnsiTheme="majorBidi" w:cstheme="majorBidi"/>
                <w:sz w:val="20"/>
              </w:rPr>
            </w:pPr>
            <w:r>
              <w:rPr>
                <w:rFonts w:asciiTheme="majorBidi" w:hAnsiTheme="majorBidi" w:cstheme="majorBidi"/>
                <w:sz w:val="20"/>
              </w:rPr>
              <w:lastRenderedPageBreak/>
              <w:t>Daļēji ņemts vērā</w:t>
            </w:r>
          </w:p>
        </w:tc>
        <w:tc>
          <w:tcPr>
            <w:tcW w:w="4056" w:type="dxa"/>
            <w:shd w:val="clear" w:color="auto" w:fill="FFFFFF"/>
            <w:noWrap/>
            <w:tcMar>
              <w:top w:w="75" w:type="dxa"/>
              <w:left w:w="75" w:type="dxa"/>
              <w:bottom w:w="75" w:type="dxa"/>
              <w:right w:w="75" w:type="dxa"/>
            </w:tcMar>
            <w:vAlign w:val="center"/>
          </w:tcPr>
          <w:p w14:paraId="75BF2F6E" w14:textId="3024B9B2" w:rsidR="00D56FFC" w:rsidRPr="001B2C8F" w:rsidRDefault="008B4F1B">
            <w:pPr>
              <w:jc w:val="left"/>
              <w:rPr>
                <w:rFonts w:asciiTheme="majorBidi" w:hAnsiTheme="majorBidi" w:cstheme="majorBidi"/>
                <w:sz w:val="20"/>
              </w:rPr>
            </w:pPr>
            <w:r>
              <w:rPr>
                <w:rFonts w:asciiTheme="majorBidi" w:hAnsiTheme="majorBidi" w:cstheme="majorBidi"/>
                <w:sz w:val="20"/>
              </w:rPr>
              <w:t xml:space="preserve">Stratēģijas mērķis ir attīstīt </w:t>
            </w:r>
            <w:r w:rsidR="002F15D7">
              <w:rPr>
                <w:rFonts w:asciiTheme="majorBidi" w:hAnsiTheme="majorBidi" w:cstheme="majorBidi"/>
                <w:sz w:val="20"/>
              </w:rPr>
              <w:t xml:space="preserve">datu jomas kompetences valsts pārvaldē, </w:t>
            </w:r>
            <w:r w:rsidR="00EA08D0">
              <w:rPr>
                <w:rFonts w:asciiTheme="majorBidi" w:hAnsiTheme="majorBidi" w:cstheme="majorBidi"/>
                <w:sz w:val="20"/>
              </w:rPr>
              <w:t xml:space="preserve">kas kontekstā ar </w:t>
            </w:r>
            <w:r w:rsidR="00EA08D0">
              <w:rPr>
                <w:rFonts w:asciiTheme="majorBidi" w:hAnsiTheme="majorBidi" w:cstheme="majorBidi"/>
                <w:sz w:val="20"/>
              </w:rPr>
              <w:lastRenderedPageBreak/>
              <w:t>plānotajiem grozījumiem profesiju klasifikatorā, ļ</w:t>
            </w:r>
            <w:r w:rsidR="001C3A39">
              <w:rPr>
                <w:rFonts w:asciiTheme="majorBidi" w:hAnsiTheme="majorBidi" w:cstheme="majorBidi"/>
                <w:sz w:val="20"/>
              </w:rPr>
              <w:t xml:space="preserve">aus </w:t>
            </w:r>
            <w:r w:rsidR="005E688C">
              <w:rPr>
                <w:rFonts w:asciiTheme="majorBidi" w:hAnsiTheme="majorBidi" w:cstheme="majorBidi"/>
                <w:sz w:val="20"/>
              </w:rPr>
              <w:t>piesaistīt</w:t>
            </w:r>
            <w:r w:rsidR="0079618E">
              <w:rPr>
                <w:rFonts w:asciiTheme="majorBidi" w:hAnsiTheme="majorBidi" w:cstheme="majorBidi"/>
                <w:sz w:val="20"/>
              </w:rPr>
              <w:t xml:space="preserve"> jaunus</w:t>
            </w:r>
            <w:r w:rsidR="005E688C">
              <w:rPr>
                <w:rFonts w:asciiTheme="majorBidi" w:hAnsiTheme="majorBidi" w:cstheme="majorBidi"/>
                <w:sz w:val="20"/>
              </w:rPr>
              <w:t xml:space="preserve"> zinošus</w:t>
            </w:r>
            <w:r w:rsidR="0079618E">
              <w:rPr>
                <w:rFonts w:asciiTheme="majorBidi" w:hAnsiTheme="majorBidi" w:cstheme="majorBidi"/>
                <w:sz w:val="20"/>
              </w:rPr>
              <w:t xml:space="preserve"> ekspertus</w:t>
            </w:r>
            <w:r w:rsidR="005E688C">
              <w:rPr>
                <w:rFonts w:asciiTheme="majorBidi" w:hAnsiTheme="majorBidi" w:cstheme="majorBidi"/>
                <w:sz w:val="20"/>
              </w:rPr>
              <w:t xml:space="preserve">. Papildus iepriekš minētajam sadarbībā ar VAS plānots </w:t>
            </w:r>
            <w:r w:rsidR="00610AC3">
              <w:rPr>
                <w:rFonts w:asciiTheme="majorBidi" w:hAnsiTheme="majorBidi" w:cstheme="majorBidi"/>
                <w:sz w:val="20"/>
              </w:rPr>
              <w:t>organizēt mācības pasākumus valsts pārvaldes darbiniekiem celtu nepieciešamās kompetences datu pārvaldības jomā. Visbeidzot attiecībā uz VDAA un CSP, kā kompetences centri tie protams nodrošina atbalstu arī citām iestādēm jautājums saistībā ar datu analītiku, izplatīšanu u.tml.</w:t>
            </w:r>
          </w:p>
        </w:tc>
      </w:tr>
      <w:tr w:rsidR="003F554C" w:rsidRPr="001B2C8F" w14:paraId="45DDAAF6" w14:textId="77777777" w:rsidTr="00F140DC">
        <w:tc>
          <w:tcPr>
            <w:tcW w:w="1695" w:type="dxa"/>
            <w:shd w:val="clear" w:color="auto" w:fill="FFFFFF"/>
            <w:noWrap/>
            <w:tcMar>
              <w:top w:w="75" w:type="dxa"/>
              <w:left w:w="75" w:type="dxa"/>
              <w:bottom w:w="75" w:type="dxa"/>
              <w:right w:w="75" w:type="dxa"/>
            </w:tcMar>
            <w:vAlign w:val="center"/>
          </w:tcPr>
          <w:p w14:paraId="533B5774" w14:textId="0DED5D17" w:rsidR="003F554C" w:rsidRPr="001B2C8F" w:rsidRDefault="0006793C" w:rsidP="0006793C">
            <w:pPr>
              <w:jc w:val="center"/>
              <w:rPr>
                <w:rFonts w:asciiTheme="majorBidi" w:hAnsiTheme="majorBidi" w:cstheme="majorBidi"/>
                <w:sz w:val="20"/>
              </w:rPr>
            </w:pPr>
            <w:r w:rsidRPr="0006793C">
              <w:rPr>
                <w:rFonts w:asciiTheme="majorBidi" w:hAnsiTheme="majorBidi" w:cstheme="majorBidi"/>
                <w:sz w:val="20"/>
              </w:rPr>
              <w:lastRenderedPageBreak/>
              <w:t>26-TA-347/7</w:t>
            </w:r>
          </w:p>
        </w:tc>
        <w:tc>
          <w:tcPr>
            <w:tcW w:w="3110" w:type="dxa"/>
            <w:shd w:val="clear" w:color="auto" w:fill="FFFFFF"/>
            <w:noWrap/>
            <w:tcMar>
              <w:top w:w="75" w:type="dxa"/>
              <w:left w:w="75" w:type="dxa"/>
              <w:bottom w:w="75" w:type="dxa"/>
              <w:right w:w="75" w:type="dxa"/>
            </w:tcMar>
            <w:vAlign w:val="center"/>
          </w:tcPr>
          <w:p w14:paraId="2696E884" w14:textId="530C79F0" w:rsidR="003F554C" w:rsidRPr="001B2C8F" w:rsidRDefault="00FB3AEC" w:rsidP="00FB3AEC">
            <w:pPr>
              <w:jc w:val="left"/>
              <w:rPr>
                <w:rFonts w:asciiTheme="majorBidi" w:hAnsiTheme="majorBidi" w:cstheme="majorBidi"/>
                <w:sz w:val="20"/>
              </w:rPr>
            </w:pPr>
            <w:r w:rsidRPr="00FB3AEC">
              <w:rPr>
                <w:rFonts w:asciiTheme="majorBidi" w:hAnsiTheme="majorBidi" w:cstheme="majorBidi"/>
                <w:sz w:val="20"/>
              </w:rPr>
              <w:t>iedzīvotāji, uzņēmumi, pētnieki</w:t>
            </w:r>
          </w:p>
        </w:tc>
        <w:tc>
          <w:tcPr>
            <w:tcW w:w="4056" w:type="dxa"/>
            <w:shd w:val="clear" w:color="auto" w:fill="FFFFFF"/>
            <w:noWrap/>
            <w:tcMar>
              <w:top w:w="75" w:type="dxa"/>
              <w:left w:w="75" w:type="dxa"/>
              <w:bottom w:w="75" w:type="dxa"/>
              <w:right w:w="75" w:type="dxa"/>
            </w:tcMar>
            <w:vAlign w:val="center"/>
          </w:tcPr>
          <w:p w14:paraId="0662CE99" w14:textId="04DD0A1B" w:rsidR="003F554C" w:rsidRPr="001B2C8F" w:rsidRDefault="00FB3AEC" w:rsidP="00FB3AEC">
            <w:pPr>
              <w:jc w:val="left"/>
              <w:rPr>
                <w:rFonts w:asciiTheme="majorBidi" w:hAnsiTheme="majorBidi" w:cstheme="majorBidi"/>
                <w:sz w:val="20"/>
              </w:rPr>
            </w:pPr>
            <w:r w:rsidRPr="00FB3AEC">
              <w:rPr>
                <w:rFonts w:asciiTheme="majorBidi" w:hAnsiTheme="majorBidi" w:cstheme="majorBidi"/>
                <w:b/>
                <w:bCs/>
                <w:sz w:val="20"/>
              </w:rPr>
              <w:t>MI rezultatīvie rādītāji ir nepietiekami un nespēj nodrošināt stratēģijas saturīgu izvērtēšanu</w:t>
            </w:r>
            <w:r w:rsidRPr="00FB3AEC">
              <w:rPr>
                <w:rFonts w:asciiTheme="majorBidi" w:hAnsiTheme="majorBidi" w:cstheme="majorBidi"/>
                <w:sz w:val="20"/>
              </w:rPr>
              <w:br/>
            </w:r>
            <w:r w:rsidRPr="00FB3AEC">
              <w:rPr>
                <w:rFonts w:asciiTheme="majorBidi" w:hAnsiTheme="majorBidi" w:cstheme="majorBidi"/>
                <w:sz w:val="20"/>
              </w:rPr>
              <w:br/>
            </w:r>
            <w:r w:rsidRPr="00FB3AEC">
              <w:rPr>
                <w:rFonts w:asciiTheme="majorBidi" w:hAnsiTheme="majorBidi" w:cstheme="majorBidi"/>
                <w:b/>
                <w:bCs/>
                <w:sz w:val="20"/>
              </w:rPr>
              <w:t>Iebildums / trūkums</w:t>
            </w:r>
            <w:r w:rsidRPr="00FB3AEC">
              <w:rPr>
                <w:rFonts w:asciiTheme="majorBidi" w:hAnsiTheme="majorBidi" w:cstheme="majorBidi"/>
                <w:sz w:val="20"/>
              </w:rPr>
              <w:br/>
              <w:t xml:space="preserve">Vienīgais kvantitatīvais MI rādītājs stratēģijā ir </w:t>
            </w:r>
            <w:r w:rsidRPr="00FB3AEC">
              <w:rPr>
                <w:rFonts w:asciiTheme="majorBidi" w:hAnsiTheme="majorBidi" w:cstheme="majorBidi"/>
                <w:sz w:val="20"/>
              </w:rPr>
              <w:lastRenderedPageBreak/>
              <w:t>"Drošās datu apstrādes vides, izmantošanas skaits gadā (MI projekti)": mērķis — 1 projekts 2028. gadā, 2 — 2029. gadā, 3 — 2030. gadā. Nav rādītāju par MI ieviešanu kā darbojošos risinājumu, par tā ietekmi uz pakalpojumu kvalitāti vai par ietaupīto laiku un resursiem.</w:t>
            </w:r>
            <w:r w:rsidRPr="00FB3AEC">
              <w:rPr>
                <w:rFonts w:asciiTheme="majorBidi" w:hAnsiTheme="majorBidi" w:cstheme="majorBidi"/>
                <w:sz w:val="20"/>
              </w:rPr>
              <w:br/>
              <w:t>Šādi rādītāji neattaisno nosaukumu "Datu analītika un MI" kā vienu no stratēģijas četriem galvenajiem rīcības virzieniem un nenodrošina saturīgu politikas izvērtēšanu.</w:t>
            </w:r>
            <w:r w:rsidRPr="00FB3AEC">
              <w:rPr>
                <w:rFonts w:asciiTheme="majorBidi" w:hAnsiTheme="majorBidi" w:cstheme="majorBidi"/>
                <w:sz w:val="20"/>
              </w:rPr>
              <w:br/>
            </w:r>
            <w:r w:rsidRPr="00FB3AEC">
              <w:rPr>
                <w:rFonts w:asciiTheme="majorBidi" w:hAnsiTheme="majorBidi" w:cstheme="majorBidi"/>
                <w:sz w:val="20"/>
              </w:rPr>
              <w:br/>
            </w:r>
            <w:r w:rsidRPr="00FB3AEC">
              <w:rPr>
                <w:rFonts w:asciiTheme="majorBidi" w:hAnsiTheme="majorBidi" w:cstheme="majorBidi"/>
                <w:b/>
                <w:bCs/>
                <w:sz w:val="20"/>
              </w:rPr>
              <w:t>Ierosinājums / priekšlikums</w:t>
            </w:r>
            <w:r w:rsidRPr="00FB3AEC">
              <w:rPr>
                <w:rFonts w:asciiTheme="majorBidi" w:hAnsiTheme="majorBidi" w:cstheme="majorBidi"/>
                <w:sz w:val="20"/>
              </w:rPr>
              <w:br/>
              <w:t>MI rīcības virziena rezultatīvie rādītāji jāpapildina ar vismaz šādiem mērījumiem:</w:t>
            </w:r>
            <w:r w:rsidRPr="00FB3AEC">
              <w:rPr>
                <w:rFonts w:asciiTheme="majorBidi" w:hAnsiTheme="majorBidi" w:cstheme="majorBidi"/>
                <w:sz w:val="20"/>
              </w:rPr>
              <w:br/>
              <w:t>(1) iestāžu skaits, kas ieviesušas vismaz vienu darbojošos MI risinājumu ikdienas procesos (mērķis līdz 2030. gadam — vismaz 10 iestādes);</w:t>
            </w:r>
            <w:r w:rsidRPr="00FB3AEC">
              <w:rPr>
                <w:rFonts w:asciiTheme="majorBidi" w:hAnsiTheme="majorBidi" w:cstheme="majorBidi"/>
                <w:sz w:val="20"/>
              </w:rPr>
              <w:br/>
              <w:t>(2) MI risinājumu radītais administratīvā laika ietaupījums procentos tajos procesos, kuros MI ir ieviests;</w:t>
            </w:r>
            <w:r w:rsidRPr="00FB3AEC">
              <w:rPr>
                <w:rFonts w:asciiTheme="majorBidi" w:hAnsiTheme="majorBidi" w:cstheme="majorBidi"/>
                <w:sz w:val="20"/>
              </w:rPr>
              <w:br/>
              <w:t>(3) MI atbalstītu lēmumu vai apstrādātu pieprasījumu skaits gadā. Rādītājiem jābūt ar skaidru bāzes līniju 2026. gadā un ikgadēju mērīšanas pienākumu.</w:t>
            </w:r>
            <w:r w:rsidRPr="00FB3AEC">
              <w:rPr>
                <w:rFonts w:asciiTheme="majorBidi" w:hAnsiTheme="majorBidi" w:cstheme="majorBidi"/>
                <w:sz w:val="20"/>
              </w:rPr>
              <w:br/>
            </w:r>
            <w:r w:rsidRPr="00FB3AEC">
              <w:rPr>
                <w:rFonts w:asciiTheme="majorBidi" w:hAnsiTheme="majorBidi" w:cstheme="majorBidi"/>
                <w:sz w:val="20"/>
              </w:rPr>
              <w:br/>
            </w:r>
            <w:r w:rsidRPr="00FB3AEC">
              <w:rPr>
                <w:rFonts w:asciiTheme="majorBidi" w:hAnsiTheme="majorBidi" w:cstheme="majorBidi"/>
                <w:b/>
                <w:bCs/>
                <w:sz w:val="20"/>
              </w:rPr>
              <w:t>Atsauces uz stratēģiju</w:t>
            </w:r>
            <w:r w:rsidRPr="00FB3AEC">
              <w:rPr>
                <w:rFonts w:asciiTheme="majorBidi" w:hAnsiTheme="majorBidi" w:cstheme="majorBidi"/>
                <w:sz w:val="20"/>
              </w:rPr>
              <w:br/>
              <w:t>Lpp. 5 — 3. Rīcības virziena rezultatīvo rādītāju tabula</w:t>
            </w:r>
            <w:r w:rsidRPr="00FB3AEC">
              <w:rPr>
                <w:rFonts w:asciiTheme="majorBidi" w:hAnsiTheme="majorBidi" w:cstheme="majorBidi"/>
                <w:sz w:val="20"/>
              </w:rPr>
              <w:br/>
              <w:t>“Drošās datu apstrādes vides, izmantošanas skaits gadā (MI projekti): 0 | 0 | 1 | 2 | 3”</w:t>
            </w:r>
            <w:r w:rsidRPr="00FB3AEC">
              <w:rPr>
                <w:rFonts w:asciiTheme="majorBidi" w:hAnsiTheme="majorBidi" w:cstheme="majorBidi"/>
                <w:sz w:val="20"/>
              </w:rPr>
              <w:br/>
              <w:t>Lpp. 21 — Uzdevuma 3.2. mērķis</w:t>
            </w:r>
            <w:r w:rsidRPr="00FB3AEC">
              <w:rPr>
                <w:rFonts w:asciiTheme="majorBidi" w:hAnsiTheme="majorBidi" w:cstheme="majorBidi"/>
                <w:sz w:val="20"/>
              </w:rPr>
              <w:br/>
              <w:t xml:space="preserve">“nodrošināt drošu, efektīvu un savietojamu </w:t>
            </w:r>
            <w:r w:rsidRPr="00FB3AEC">
              <w:rPr>
                <w:rFonts w:asciiTheme="majorBidi" w:hAnsiTheme="majorBidi" w:cstheme="majorBidi"/>
                <w:sz w:val="20"/>
              </w:rPr>
              <w:lastRenderedPageBreak/>
              <w:t>valsts pārvaldes datu infrastruktūru, kas atbalsta centralizētu datu pārvaldību, analītiku, mākslīgā intelekta risinājumu izstrādi”</w:t>
            </w:r>
          </w:p>
        </w:tc>
        <w:tc>
          <w:tcPr>
            <w:tcW w:w="1650" w:type="dxa"/>
            <w:shd w:val="clear" w:color="auto" w:fill="FFFFFF"/>
            <w:noWrap/>
            <w:tcMar>
              <w:top w:w="75" w:type="dxa"/>
              <w:left w:w="75" w:type="dxa"/>
              <w:bottom w:w="75" w:type="dxa"/>
              <w:right w:w="75" w:type="dxa"/>
            </w:tcMar>
            <w:vAlign w:val="center"/>
          </w:tcPr>
          <w:p w14:paraId="179C715E" w14:textId="05671198" w:rsidR="003F554C" w:rsidRPr="001B2C8F" w:rsidRDefault="00DE656A">
            <w:pPr>
              <w:jc w:val="left"/>
              <w:rPr>
                <w:rFonts w:asciiTheme="majorBidi" w:hAnsiTheme="majorBidi" w:cstheme="majorBidi"/>
                <w:sz w:val="20"/>
              </w:rPr>
            </w:pPr>
            <w:r>
              <w:rPr>
                <w:rFonts w:asciiTheme="majorBidi" w:hAnsiTheme="majorBidi" w:cstheme="majorBidi"/>
                <w:sz w:val="20"/>
              </w:rPr>
              <w:lastRenderedPageBreak/>
              <w:t>Nav ņemts vērā</w:t>
            </w:r>
          </w:p>
        </w:tc>
        <w:tc>
          <w:tcPr>
            <w:tcW w:w="4056" w:type="dxa"/>
            <w:shd w:val="clear" w:color="auto" w:fill="FFFFFF"/>
            <w:noWrap/>
            <w:tcMar>
              <w:top w:w="75" w:type="dxa"/>
              <w:left w:w="75" w:type="dxa"/>
              <w:bottom w:w="75" w:type="dxa"/>
              <w:right w:w="75" w:type="dxa"/>
            </w:tcMar>
            <w:vAlign w:val="center"/>
          </w:tcPr>
          <w:p w14:paraId="20F88F45" w14:textId="66124B15" w:rsidR="00C76662" w:rsidRDefault="00C76662" w:rsidP="00C76662">
            <w:pPr>
              <w:jc w:val="left"/>
              <w:rPr>
                <w:rFonts w:asciiTheme="majorBidi" w:hAnsiTheme="majorBidi" w:cstheme="majorBidi"/>
                <w:sz w:val="20"/>
              </w:rPr>
            </w:pPr>
            <w:r w:rsidRPr="003360D5">
              <w:rPr>
                <w:rFonts w:asciiTheme="majorBidi" w:hAnsiTheme="majorBidi" w:cstheme="majorBidi"/>
                <w:b/>
                <w:bCs/>
                <w:sz w:val="20"/>
              </w:rPr>
              <w:t>Stratēģijas mērķis</w:t>
            </w:r>
            <w:r>
              <w:rPr>
                <w:rFonts w:asciiTheme="majorBidi" w:hAnsiTheme="majorBidi" w:cstheme="majorBidi"/>
                <w:sz w:val="20"/>
              </w:rPr>
              <w:t xml:space="preserve"> ir : </w:t>
            </w:r>
            <w:r w:rsidRPr="00C76662">
              <w:rPr>
                <w:rFonts w:asciiTheme="majorBidi" w:hAnsiTheme="majorBidi" w:cstheme="majorBidi"/>
                <w:sz w:val="20"/>
              </w:rPr>
              <w:t xml:space="preserve">Valsts pārvaldē ir izveidots visaptverošs datu pārvaldības tiesiskais un organizatoriskais ietvars un ieviesta vienota datu pārvaldības prakse, kas profesionāli un mērķtiecīgi īsteno datu pārvaldības procesus, vienlaikus veicinot datu pieejamību, samazinot </w:t>
            </w:r>
            <w:r w:rsidRPr="00C76662">
              <w:rPr>
                <w:rFonts w:asciiTheme="majorBidi" w:hAnsiTheme="majorBidi" w:cstheme="majorBidi"/>
                <w:sz w:val="20"/>
              </w:rPr>
              <w:lastRenderedPageBreak/>
              <w:t xml:space="preserve">administratīvo slogu un birokrātiju, kā arī nodrošinot valsts pārvaldē uzturēto datu augstu vērtību, kvalitāti un </w:t>
            </w:r>
            <w:proofErr w:type="spellStart"/>
            <w:r w:rsidRPr="00C76662">
              <w:rPr>
                <w:rFonts w:asciiTheme="majorBidi" w:hAnsiTheme="majorBidi" w:cstheme="majorBidi"/>
                <w:sz w:val="20"/>
              </w:rPr>
              <w:t>izmantojamību</w:t>
            </w:r>
            <w:proofErr w:type="spellEnd"/>
            <w:r w:rsidRPr="00C76662">
              <w:rPr>
                <w:rFonts w:asciiTheme="majorBidi" w:hAnsiTheme="majorBidi" w:cstheme="majorBidi"/>
                <w:sz w:val="20"/>
              </w:rPr>
              <w:t xml:space="preserve"> tautsaimniecībā. </w:t>
            </w:r>
          </w:p>
          <w:p w14:paraId="6C953B78" w14:textId="77777777" w:rsidR="00C76662" w:rsidRPr="00BE3005" w:rsidRDefault="00C76662" w:rsidP="00C76662">
            <w:pPr>
              <w:jc w:val="left"/>
              <w:rPr>
                <w:rFonts w:asciiTheme="majorBidi" w:hAnsiTheme="majorBidi" w:cstheme="majorBidi"/>
                <w:sz w:val="20"/>
              </w:rPr>
            </w:pPr>
          </w:p>
          <w:p w14:paraId="3FDC869F" w14:textId="02C685E6" w:rsidR="00DE656A" w:rsidRPr="00BE3005" w:rsidRDefault="00DE656A" w:rsidP="00DE656A">
            <w:pPr>
              <w:jc w:val="left"/>
              <w:rPr>
                <w:rFonts w:asciiTheme="majorBidi" w:hAnsiTheme="majorBidi" w:cstheme="majorBidi"/>
                <w:sz w:val="20"/>
              </w:rPr>
            </w:pPr>
            <w:r w:rsidRPr="00BE3005">
              <w:rPr>
                <w:rFonts w:asciiTheme="majorBidi" w:hAnsiTheme="majorBidi" w:cstheme="majorBidi"/>
                <w:sz w:val="20"/>
              </w:rPr>
              <w:t xml:space="preserve">MI rīcības virziens stratēģijā nav atsevišķa autonoma stratēģija, bet horizontāls attīstības elements, kas integrēts kopējā datu pārvaldības ietvarā. </w:t>
            </w:r>
            <w:r w:rsidR="00B870E4">
              <w:rPr>
                <w:rFonts w:asciiTheme="majorBidi" w:hAnsiTheme="majorBidi" w:cstheme="majorBidi"/>
                <w:sz w:val="20"/>
              </w:rPr>
              <w:t xml:space="preserve"> Stratēģijas projektā iekļautie rezultatīvie rādītāji ilustrē plānoto</w:t>
            </w:r>
            <w:r w:rsidR="001C2EF3">
              <w:rPr>
                <w:rFonts w:asciiTheme="majorBidi" w:hAnsiTheme="majorBidi" w:cstheme="majorBidi"/>
                <w:sz w:val="20"/>
              </w:rPr>
              <w:t xml:space="preserve"> MI projektu skaitu valsts pārvaldē, </w:t>
            </w:r>
            <w:r w:rsidR="00DA111E">
              <w:rPr>
                <w:rFonts w:asciiTheme="majorBidi" w:hAnsiTheme="majorBidi" w:cstheme="majorBidi"/>
                <w:sz w:val="20"/>
              </w:rPr>
              <w:t xml:space="preserve">kuru ietvaros iestādes varēs pilnveidot savus pakalpojumus vai izvērtēt </w:t>
            </w:r>
            <w:r w:rsidR="00292F6D">
              <w:rPr>
                <w:rFonts w:asciiTheme="majorBidi" w:hAnsiTheme="majorBidi" w:cstheme="majorBidi"/>
                <w:sz w:val="20"/>
              </w:rPr>
              <w:t>darbības rezultātus, lai nodrošinātu datos balstītu lēmumu pieņemšanu un sistemātisku valsts pārvaldes darbību</w:t>
            </w:r>
          </w:p>
          <w:p w14:paraId="67B5D5F3" w14:textId="77777777" w:rsidR="003F554C" w:rsidRPr="001B2C8F" w:rsidRDefault="003F554C">
            <w:pPr>
              <w:jc w:val="left"/>
              <w:rPr>
                <w:rFonts w:asciiTheme="majorBidi" w:hAnsiTheme="majorBidi" w:cstheme="majorBidi"/>
                <w:sz w:val="20"/>
              </w:rPr>
            </w:pPr>
          </w:p>
        </w:tc>
      </w:tr>
      <w:tr w:rsidR="003F554C" w:rsidRPr="001B2C8F" w14:paraId="45891439" w14:textId="77777777" w:rsidTr="00F140DC">
        <w:tc>
          <w:tcPr>
            <w:tcW w:w="1695" w:type="dxa"/>
            <w:shd w:val="clear" w:color="auto" w:fill="FFFFFF"/>
            <w:noWrap/>
            <w:tcMar>
              <w:top w:w="75" w:type="dxa"/>
              <w:left w:w="75" w:type="dxa"/>
              <w:bottom w:w="75" w:type="dxa"/>
              <w:right w:w="75" w:type="dxa"/>
            </w:tcMar>
            <w:vAlign w:val="center"/>
          </w:tcPr>
          <w:p w14:paraId="63F4777B" w14:textId="5F2C7DA0" w:rsidR="003F554C" w:rsidRPr="001B2C8F" w:rsidRDefault="00460D82" w:rsidP="00460D82">
            <w:pPr>
              <w:jc w:val="center"/>
              <w:rPr>
                <w:rFonts w:asciiTheme="majorBidi" w:hAnsiTheme="majorBidi" w:cstheme="majorBidi"/>
                <w:sz w:val="20"/>
              </w:rPr>
            </w:pPr>
            <w:r w:rsidRPr="00460D82">
              <w:rPr>
                <w:rFonts w:asciiTheme="majorBidi" w:hAnsiTheme="majorBidi" w:cstheme="majorBidi"/>
                <w:sz w:val="20"/>
              </w:rPr>
              <w:lastRenderedPageBreak/>
              <w:t>26-TA-347/8</w:t>
            </w:r>
          </w:p>
        </w:tc>
        <w:tc>
          <w:tcPr>
            <w:tcW w:w="3110" w:type="dxa"/>
            <w:shd w:val="clear" w:color="auto" w:fill="FFFFFF"/>
            <w:noWrap/>
            <w:tcMar>
              <w:top w:w="75" w:type="dxa"/>
              <w:left w:w="75" w:type="dxa"/>
              <w:bottom w:w="75" w:type="dxa"/>
              <w:right w:w="75" w:type="dxa"/>
            </w:tcMar>
            <w:vAlign w:val="center"/>
          </w:tcPr>
          <w:p w14:paraId="1FE9C1AC" w14:textId="77777777" w:rsidR="00EF3B13" w:rsidRPr="00EF3B13" w:rsidRDefault="00EF3B13" w:rsidP="00EF3B13">
            <w:pPr>
              <w:jc w:val="left"/>
              <w:rPr>
                <w:rFonts w:asciiTheme="majorBidi" w:hAnsiTheme="majorBidi" w:cstheme="majorBidi"/>
                <w:sz w:val="20"/>
              </w:rPr>
            </w:pPr>
            <w:r w:rsidRPr="00EF3B13">
              <w:rPr>
                <w:rFonts w:asciiTheme="majorBidi" w:hAnsiTheme="majorBidi" w:cstheme="majorBidi"/>
                <w:sz w:val="20"/>
              </w:rPr>
              <w:t>Kristaps Skujiņš</w:t>
            </w:r>
          </w:p>
          <w:p w14:paraId="34989AE7" w14:textId="77777777" w:rsidR="003F554C" w:rsidRPr="001B2C8F" w:rsidRDefault="003F554C">
            <w:pPr>
              <w:jc w:val="left"/>
              <w:rPr>
                <w:rFonts w:asciiTheme="majorBidi" w:hAnsiTheme="majorBidi" w:cstheme="majorBidi"/>
                <w:sz w:val="20"/>
              </w:rPr>
            </w:pPr>
          </w:p>
        </w:tc>
        <w:tc>
          <w:tcPr>
            <w:tcW w:w="4056" w:type="dxa"/>
            <w:shd w:val="clear" w:color="auto" w:fill="FFFFFF"/>
            <w:noWrap/>
            <w:tcMar>
              <w:top w:w="75" w:type="dxa"/>
              <w:left w:w="75" w:type="dxa"/>
              <w:bottom w:w="75" w:type="dxa"/>
              <w:right w:w="75" w:type="dxa"/>
            </w:tcMar>
            <w:vAlign w:val="center"/>
          </w:tcPr>
          <w:p w14:paraId="5D7B5500" w14:textId="4BC8BE34" w:rsidR="003F554C" w:rsidRPr="001B2C8F" w:rsidRDefault="00654BC0" w:rsidP="00654BC0">
            <w:pPr>
              <w:jc w:val="left"/>
              <w:rPr>
                <w:rFonts w:asciiTheme="majorBidi" w:hAnsiTheme="majorBidi" w:cstheme="majorBidi"/>
                <w:sz w:val="20"/>
              </w:rPr>
            </w:pPr>
            <w:r w:rsidRPr="00654BC0">
              <w:rPr>
                <w:rFonts w:asciiTheme="majorBidi" w:hAnsiTheme="majorBidi" w:cstheme="majorBidi"/>
                <w:sz w:val="20"/>
              </w:rPr>
              <w:t>Kopumā atbalstu Datu pārvaldības stratēģijas 2026.–2030. gadam virzību un tajā noteikto mērķi stiprināt vienotu datu pārvaldību valstī. Vienlaikus uzskatu, ka dokumentu nepieciešams papildināt ar skaidrāku redzējumu par publisko datu izmantošanu tautsaimniecībā, privātā sektora lomu jaunas vērtības radīšanā, resoru datu brokeru pieeju, vienotiem datu pārvaldības standartiem un autortiesību jautājumiem. Nozīmīgi ir arī neierobežot datu izmantošanas perspektīvu tikai ar mākslīgā intelekta risinājumiem, bet skatīt datus kā pamatu plašākai publiskā un privātā sektora sadarbības ekosistēmai. Tieši šāda pieeja ļautu stratēģijai kļūt ne tikai par valsts iekšējās efektivitātes dokumentu, bet arī par pamatu Latvijas datu ekonomikas attīstībai.  </w:t>
            </w:r>
            <w:r w:rsidRPr="00654BC0">
              <w:rPr>
                <w:rFonts w:asciiTheme="majorBidi" w:hAnsiTheme="majorBidi" w:cstheme="majorBidi"/>
                <w:sz w:val="20"/>
              </w:rPr>
              <w:br/>
            </w:r>
            <w:r w:rsidRPr="00654BC0">
              <w:rPr>
                <w:rFonts w:asciiTheme="majorBidi" w:hAnsiTheme="majorBidi" w:cstheme="majorBidi"/>
                <w:sz w:val="20"/>
              </w:rPr>
              <w:br/>
            </w:r>
            <w:r w:rsidRPr="00654BC0">
              <w:rPr>
                <w:rFonts w:asciiTheme="majorBidi" w:hAnsiTheme="majorBidi" w:cstheme="majorBidi"/>
                <w:b/>
                <w:bCs/>
                <w:sz w:val="20"/>
              </w:rPr>
              <w:t>1. Par stratēģijas vispārējo fokusu</w:t>
            </w:r>
            <w:r w:rsidRPr="00654BC0">
              <w:rPr>
                <w:rFonts w:asciiTheme="majorBidi" w:hAnsiTheme="majorBidi" w:cstheme="majorBidi"/>
                <w:sz w:val="20"/>
              </w:rPr>
              <w:br/>
              <w:t xml:space="preserve">Stratēģijā pamatoti uzsvērta datu pārvaldības nozīme valsts pārvaldē, tomēr dokumentā nepietiekami izcelta publisko datu izmantošana tautsaimniecībā, īpaši privātajā sektorā. Pašreizējā redakcijā dominē skatījums uz datiem kā valsts iekšējās efektivitātes, </w:t>
            </w:r>
            <w:proofErr w:type="spellStart"/>
            <w:r w:rsidRPr="00654BC0">
              <w:rPr>
                <w:rFonts w:asciiTheme="majorBidi" w:hAnsiTheme="majorBidi" w:cstheme="majorBidi"/>
                <w:sz w:val="20"/>
              </w:rPr>
              <w:t>sadarbspējas</w:t>
            </w:r>
            <w:proofErr w:type="spellEnd"/>
            <w:r w:rsidRPr="00654BC0">
              <w:rPr>
                <w:rFonts w:asciiTheme="majorBidi" w:hAnsiTheme="majorBidi" w:cstheme="majorBidi"/>
                <w:sz w:val="20"/>
              </w:rPr>
              <w:t xml:space="preserve"> un birokrātijas mazināšanas instrumentu, bet mazāk akcentēta datu nozīme jaunu produktu, pakalpojumu un uzņēmējdarbības modeļu radīšanā. Tā kā pašā stratēģijā mērķis ir </w:t>
            </w:r>
            <w:r w:rsidRPr="00654BC0">
              <w:rPr>
                <w:rFonts w:asciiTheme="majorBidi" w:hAnsiTheme="majorBidi" w:cstheme="majorBidi"/>
                <w:sz w:val="20"/>
              </w:rPr>
              <w:lastRenderedPageBreak/>
              <w:t xml:space="preserve">sasaistīts ar datu </w:t>
            </w:r>
            <w:proofErr w:type="spellStart"/>
            <w:r w:rsidRPr="00654BC0">
              <w:rPr>
                <w:rFonts w:asciiTheme="majorBidi" w:hAnsiTheme="majorBidi" w:cstheme="majorBidi"/>
                <w:sz w:val="20"/>
              </w:rPr>
              <w:t>izmantojamību</w:t>
            </w:r>
            <w:proofErr w:type="spellEnd"/>
            <w:r w:rsidRPr="00654BC0">
              <w:rPr>
                <w:rFonts w:asciiTheme="majorBidi" w:hAnsiTheme="majorBidi" w:cstheme="majorBidi"/>
                <w:sz w:val="20"/>
              </w:rPr>
              <w:t xml:space="preserve"> tautsaimniecībā, būtu nepieciešams skaidri noteikt, ka publisko datu vērtība pilnvērtīgi realizējas ne tikai valsts pārvaldē, bet arī uzņēmējdarbībā, pētniecībā un nozarēs, kur uz datu pamata tiek radīta jauna pievienotā vērtība.</w:t>
            </w:r>
            <w:r w:rsidRPr="00654BC0">
              <w:rPr>
                <w:rFonts w:asciiTheme="majorBidi" w:hAnsiTheme="majorBidi" w:cstheme="majorBidi"/>
                <w:sz w:val="20"/>
              </w:rPr>
              <w:br/>
            </w:r>
            <w:r w:rsidRPr="00654BC0">
              <w:rPr>
                <w:rFonts w:asciiTheme="majorBidi" w:hAnsiTheme="majorBidi" w:cstheme="majorBidi"/>
                <w:sz w:val="20"/>
              </w:rPr>
              <w:br/>
            </w:r>
            <w:r w:rsidRPr="00654BC0">
              <w:rPr>
                <w:rFonts w:asciiTheme="majorBidi" w:hAnsiTheme="majorBidi" w:cstheme="majorBidi"/>
                <w:b/>
                <w:bCs/>
                <w:sz w:val="20"/>
              </w:rPr>
              <w:t>2. Par valsts un privātā sektora lomu sadalījumu</w:t>
            </w:r>
            <w:r w:rsidRPr="00654BC0">
              <w:rPr>
                <w:rFonts w:asciiTheme="majorBidi" w:hAnsiTheme="majorBidi" w:cstheme="majorBidi"/>
                <w:sz w:val="20"/>
              </w:rPr>
              <w:br/>
              <w:t>Ierosinu stratēģijā precīzāk nostiprināt principu, ka valsts primārā loma ir nodrošināt kvalitatīvu, standartizētu, drošu un savietojamu datu infrastruktūru, savukārt privātais sektors, akadēmiskā vide un pilsoniskā sabiedrība uz šīs bāzes rada jaunus risinājumus, pakalpojumus un inovācijas. Šāda pieeja būtu efektīvāka nekā modelis, kur valsts cenšas vienlaikus būt gan datu turētājs, gan visu datu balstīto pakalpojumu izstrādātājs. Stratēģijā vairākās vietās minēta inovāciju veicināšana un iespēju radīšana privātajam sektoram, tādēļ būtu lietderīgi šo domu nostiprināt skaidrāk: valsts nodrošina datu pārvaldību un pieejamību, bet tautsaimniecības izrāviens rodas tad, kad tirgus dalībniekiem ir iespēja uz šo datu pamata veidot jaunus produktus un pakalpojumus.</w:t>
            </w:r>
            <w:r w:rsidRPr="00654BC0">
              <w:rPr>
                <w:rFonts w:asciiTheme="majorBidi" w:hAnsiTheme="majorBidi" w:cstheme="majorBidi"/>
                <w:sz w:val="20"/>
              </w:rPr>
              <w:br/>
            </w:r>
            <w:r w:rsidRPr="00654BC0">
              <w:rPr>
                <w:rFonts w:asciiTheme="majorBidi" w:hAnsiTheme="majorBidi" w:cstheme="majorBidi"/>
                <w:sz w:val="20"/>
              </w:rPr>
              <w:br/>
            </w:r>
            <w:r w:rsidRPr="00654BC0">
              <w:rPr>
                <w:rFonts w:asciiTheme="majorBidi" w:hAnsiTheme="majorBidi" w:cstheme="majorBidi"/>
                <w:b/>
                <w:bCs/>
                <w:sz w:val="20"/>
              </w:rPr>
              <w:t>3. Par datu ekonomiku un jaunradītu vērtību</w:t>
            </w:r>
            <w:r w:rsidRPr="00654BC0">
              <w:rPr>
                <w:rFonts w:asciiTheme="majorBidi" w:hAnsiTheme="majorBidi" w:cstheme="majorBidi"/>
                <w:sz w:val="20"/>
              </w:rPr>
              <w:br/>
              <w:t xml:space="preserve">Stratēģijā būtu lietderīgi skaidrāk nošķirt valsts pārvaldes pamatdatus no atvasinātiem vai jaunradītiem datiem, kas rodas to atkārtotas izmantošanas rezultātā. Šāds nošķīrums ir būtisks, jo publisko datu </w:t>
            </w:r>
            <w:proofErr w:type="spellStart"/>
            <w:r w:rsidRPr="00654BC0">
              <w:rPr>
                <w:rFonts w:asciiTheme="majorBidi" w:hAnsiTheme="majorBidi" w:cstheme="majorBidi"/>
                <w:sz w:val="20"/>
              </w:rPr>
              <w:t>atkalizmantošana</w:t>
            </w:r>
            <w:proofErr w:type="spellEnd"/>
            <w:r w:rsidRPr="00654BC0">
              <w:rPr>
                <w:rFonts w:asciiTheme="majorBidi" w:hAnsiTheme="majorBidi" w:cstheme="majorBidi"/>
                <w:sz w:val="20"/>
              </w:rPr>
              <w:t xml:space="preserve"> tirgū </w:t>
            </w:r>
            <w:r w:rsidRPr="00654BC0">
              <w:rPr>
                <w:rFonts w:asciiTheme="majorBidi" w:hAnsiTheme="majorBidi" w:cstheme="majorBidi"/>
                <w:sz w:val="20"/>
              </w:rPr>
              <w:lastRenderedPageBreak/>
              <w:t>var radīt jaunas datu kopas, analītikas slāņus, lietotāju uzvedības datus, nozares indeksus un citus sekundārus informācijas resursus, kas savukārt kļūst par pamatu jauniem pakalpojumiem. Tādēļ stratēģijai būtu jāparedz ne tikai datu atvēršana un aprite, bet arī plašāka publiskā un privātā sektora datu ekosistēma, kurā valsts dati kļūst par izejmateriālu tālākai vērtības radīšanai. Šāda pieeja labāk atbilst arī stratēģijā minētajam ekonomiskā pienesuma argumentam.</w:t>
            </w:r>
            <w:r w:rsidRPr="00654BC0">
              <w:rPr>
                <w:rFonts w:asciiTheme="majorBidi" w:hAnsiTheme="majorBidi" w:cstheme="majorBidi"/>
                <w:sz w:val="20"/>
              </w:rPr>
              <w:br/>
            </w:r>
            <w:r w:rsidRPr="00654BC0">
              <w:rPr>
                <w:rFonts w:asciiTheme="majorBidi" w:hAnsiTheme="majorBidi" w:cstheme="majorBidi"/>
                <w:sz w:val="20"/>
              </w:rPr>
              <w:br/>
            </w:r>
            <w:r w:rsidRPr="00654BC0">
              <w:rPr>
                <w:rFonts w:asciiTheme="majorBidi" w:hAnsiTheme="majorBidi" w:cstheme="majorBidi"/>
                <w:b/>
                <w:bCs/>
                <w:sz w:val="20"/>
              </w:rPr>
              <w:t>4. Par pārvaldības arhitektūru un datu brokeru modeli</w:t>
            </w:r>
            <w:r w:rsidRPr="00654BC0">
              <w:rPr>
                <w:rFonts w:asciiTheme="majorBidi" w:hAnsiTheme="majorBidi" w:cstheme="majorBidi"/>
                <w:sz w:val="20"/>
              </w:rPr>
              <w:br/>
              <w:t>Pozitīvi vērtējama iecere attīstīt vienotu valsts datu izplatīšanas risinājumu un stiprināt VDAA lomu datu izplatīšanā, tomēr stratēģijā būtu nepieciešams precīzāk aprakstīt mērķa arhitektūru. Ierosinu paredzēt ne tikai centralizētu valsts līmeņa datu izplatīšanas funkciju, bet arī resoru līmeņa datu brokeru pieeju, kur katrā nozarē ir skaidrs datu pārvaldības un datu izplatīšanas mezgls, savukārt VDAA pilda šo brokeru koordinējošu un integrējošu lomu. Tas veicinātu gan vienas pieturas principa īstenošanu, gan labāku nozares datu pārvaldību, kvalitāti un piekļuves skaidrību. Īpaši svarīgi tas ir sektoros ar sarežģītu datu struktūru, tai skaitā kultūras nozarē. </w:t>
            </w:r>
            <w:r w:rsidRPr="00654BC0">
              <w:rPr>
                <w:rFonts w:asciiTheme="majorBidi" w:hAnsiTheme="majorBidi" w:cstheme="majorBidi"/>
                <w:sz w:val="20"/>
              </w:rPr>
              <w:br/>
            </w:r>
            <w:r w:rsidRPr="00654BC0">
              <w:rPr>
                <w:rFonts w:asciiTheme="majorBidi" w:hAnsiTheme="majorBidi" w:cstheme="majorBidi"/>
                <w:sz w:val="20"/>
              </w:rPr>
              <w:br/>
            </w:r>
            <w:r w:rsidRPr="00654BC0">
              <w:rPr>
                <w:rFonts w:asciiTheme="majorBidi" w:hAnsiTheme="majorBidi" w:cstheme="majorBidi"/>
                <w:b/>
                <w:bCs/>
                <w:sz w:val="20"/>
              </w:rPr>
              <w:t>5. Par standartiem, FAIR pieeju un autortiesībām</w:t>
            </w:r>
            <w:r w:rsidRPr="00654BC0">
              <w:rPr>
                <w:rFonts w:asciiTheme="majorBidi" w:hAnsiTheme="majorBidi" w:cstheme="majorBidi"/>
                <w:sz w:val="20"/>
              </w:rPr>
              <w:br/>
            </w:r>
            <w:r w:rsidRPr="00654BC0">
              <w:rPr>
                <w:rFonts w:asciiTheme="majorBidi" w:hAnsiTheme="majorBidi" w:cstheme="majorBidi"/>
                <w:sz w:val="20"/>
              </w:rPr>
              <w:lastRenderedPageBreak/>
              <w:t>Stratēģijā pamatoti minēti FAIR principi, datu kvalitāte, suverenitāte, drošība un uzticamība, tomēr nepietiekami konkretizēti datu pārvaldības praktiskie standarti un nozares specifiskie ierobežojumi. Ierosinu dokumentā skaidrāk noteikt, ka līdztekus FAIR principiem ir jāparedz arī vienotas prasības datu dokumentēšanai, metadatiem, datu apstrādes principiem un savietojamības standartiem. Tāpat būtiski papildināt stratēģiju ar atsauci uz autortiesību un blakustiesību jautājumiem, jo vairākās nozarēs, īpaši kultūras jomā, publiski pārvaldītie dati ir cieši saistīti ar autortiesību objektiem, to aprakstiem, reprodukcijām un lietošanas nosacījumiem. Bez šādas dimensijas stratēģija nav pilnvērtīgi piemērojama visām publiskā sektora datu kopām.  </w:t>
            </w:r>
            <w:r w:rsidRPr="00654BC0">
              <w:rPr>
                <w:rFonts w:asciiTheme="majorBidi" w:hAnsiTheme="majorBidi" w:cstheme="majorBidi"/>
                <w:sz w:val="20"/>
              </w:rPr>
              <w:br/>
            </w:r>
            <w:r w:rsidRPr="00654BC0">
              <w:rPr>
                <w:rFonts w:asciiTheme="majorBidi" w:hAnsiTheme="majorBidi" w:cstheme="majorBidi"/>
                <w:sz w:val="20"/>
              </w:rPr>
              <w:br/>
            </w:r>
            <w:r w:rsidRPr="00654BC0">
              <w:rPr>
                <w:rFonts w:asciiTheme="majorBidi" w:hAnsiTheme="majorBidi" w:cstheme="majorBidi"/>
                <w:b/>
                <w:bCs/>
                <w:sz w:val="20"/>
              </w:rPr>
              <w:t>6. Par pārlieku šauru sasaisti ar MI</w:t>
            </w:r>
            <w:r w:rsidRPr="00654BC0">
              <w:rPr>
                <w:rFonts w:asciiTheme="majorBidi" w:hAnsiTheme="majorBidi" w:cstheme="majorBidi"/>
                <w:sz w:val="20"/>
              </w:rPr>
              <w:br/>
              <w:t xml:space="preserve">Stratēģijā vairākkārt uzsvērta datu nozīme mākslīgā intelekta attīstībā, taču ierosinu saglabāt plašāku skatījumu uz datu izmantošanu. Publisko datu vērtība nav reducējama tikai uz MI risinājumiem. Dati ir pamats arī meklēšanas, klasificēšanas, salīdzināšanas, rekomendāciju, monitoringa, pētniecības, </w:t>
            </w:r>
            <w:proofErr w:type="spellStart"/>
            <w:r w:rsidRPr="00654BC0">
              <w:rPr>
                <w:rFonts w:asciiTheme="majorBidi" w:hAnsiTheme="majorBidi" w:cstheme="majorBidi"/>
                <w:sz w:val="20"/>
              </w:rPr>
              <w:t>vizualizācijas</w:t>
            </w:r>
            <w:proofErr w:type="spellEnd"/>
            <w:r w:rsidRPr="00654BC0">
              <w:rPr>
                <w:rFonts w:asciiTheme="majorBidi" w:hAnsiTheme="majorBidi" w:cstheme="majorBidi"/>
                <w:sz w:val="20"/>
              </w:rPr>
              <w:t xml:space="preserve">, sabiedrības līdzdalības un citu digitālu pakalpojumu attīstībai. Tādēļ formulējumos būtu lietderīgi līdztekus MI konsekventi pieminēt arī atkārtotu datu izmantošanu, datu balstītu pakalpojumu attīstību un jaunu datu radīšanu. Tas padarītu stratēģiju noturīgāku pret </w:t>
            </w:r>
            <w:r w:rsidRPr="00654BC0">
              <w:rPr>
                <w:rFonts w:asciiTheme="majorBidi" w:hAnsiTheme="majorBidi" w:cstheme="majorBidi"/>
                <w:sz w:val="20"/>
              </w:rPr>
              <w:lastRenderedPageBreak/>
              <w:t>tehnoloģiju maiņu un atbilstošāku plašākai datu ekonomikas attīstībai Latvijā.</w:t>
            </w:r>
          </w:p>
        </w:tc>
        <w:tc>
          <w:tcPr>
            <w:tcW w:w="1650" w:type="dxa"/>
            <w:shd w:val="clear" w:color="auto" w:fill="FFFFFF"/>
            <w:noWrap/>
            <w:tcMar>
              <w:top w:w="75" w:type="dxa"/>
              <w:left w:w="75" w:type="dxa"/>
              <w:bottom w:w="75" w:type="dxa"/>
              <w:right w:w="75" w:type="dxa"/>
            </w:tcMar>
            <w:vAlign w:val="center"/>
          </w:tcPr>
          <w:p w14:paraId="5F78CCF8" w14:textId="55B4FD87" w:rsidR="003F554C" w:rsidRPr="001B2C8F" w:rsidRDefault="00EF3B13">
            <w:pPr>
              <w:jc w:val="left"/>
              <w:rPr>
                <w:rFonts w:asciiTheme="majorBidi" w:hAnsiTheme="majorBidi" w:cstheme="majorBidi"/>
                <w:sz w:val="20"/>
              </w:rPr>
            </w:pPr>
            <w:r>
              <w:rPr>
                <w:rFonts w:asciiTheme="majorBidi" w:hAnsiTheme="majorBidi" w:cstheme="majorBidi"/>
                <w:sz w:val="20"/>
              </w:rPr>
              <w:lastRenderedPageBreak/>
              <w:t>Ņemts vērā</w:t>
            </w:r>
          </w:p>
        </w:tc>
        <w:tc>
          <w:tcPr>
            <w:tcW w:w="4056" w:type="dxa"/>
            <w:shd w:val="clear" w:color="auto" w:fill="FFFFFF"/>
            <w:noWrap/>
            <w:tcMar>
              <w:top w:w="75" w:type="dxa"/>
              <w:left w:w="75" w:type="dxa"/>
              <w:bottom w:w="75" w:type="dxa"/>
              <w:right w:w="75" w:type="dxa"/>
            </w:tcMar>
            <w:vAlign w:val="center"/>
          </w:tcPr>
          <w:p w14:paraId="385C3C7B" w14:textId="269BBE32" w:rsidR="003F554C" w:rsidRPr="001B2C8F" w:rsidRDefault="00EF3B13">
            <w:pPr>
              <w:jc w:val="left"/>
              <w:rPr>
                <w:rFonts w:asciiTheme="majorBidi" w:hAnsiTheme="majorBidi" w:cstheme="majorBidi"/>
                <w:sz w:val="20"/>
              </w:rPr>
            </w:pPr>
            <w:r>
              <w:rPr>
                <w:rFonts w:asciiTheme="majorBidi" w:hAnsiTheme="majorBidi" w:cstheme="majorBidi"/>
                <w:sz w:val="20"/>
              </w:rPr>
              <w:t xml:space="preserve">Priekšlikumā norādītās </w:t>
            </w:r>
            <w:r w:rsidR="0020226F">
              <w:rPr>
                <w:rFonts w:asciiTheme="majorBidi" w:hAnsiTheme="majorBidi" w:cstheme="majorBidi"/>
                <w:sz w:val="20"/>
              </w:rPr>
              <w:t>idejas attīstības virzieni iestrādāti stratēģijā, attiecībā uz detalizētākiem jautājumiem saistībā ar datu brokera funkciju, datu modeli u.tml., vēršam uzmanību, ka lielāka detalizācija parādīsies jau stratēģijas izpildes fāzē</w:t>
            </w:r>
          </w:p>
        </w:tc>
      </w:tr>
    </w:tbl>
    <w:p w14:paraId="56BF0611" w14:textId="77777777" w:rsidR="00260A3B" w:rsidRPr="00D56FFC" w:rsidRDefault="00260A3B">
      <w:pPr>
        <w:rPr>
          <w:color w:val="C00000"/>
        </w:rPr>
      </w:pPr>
    </w:p>
    <w:tbl>
      <w:tblPr>
        <w:tblStyle w:val="a"/>
        <w:tblW w:w="14567" w:type="dxa"/>
        <w:tblLayout w:type="fixed"/>
        <w:tblLook w:val="0600" w:firstRow="0" w:lastRow="0" w:firstColumn="0" w:lastColumn="0" w:noHBand="1" w:noVBand="1"/>
      </w:tblPr>
      <w:tblGrid>
        <w:gridCol w:w="4855"/>
        <w:gridCol w:w="4856"/>
        <w:gridCol w:w="4856"/>
      </w:tblGrid>
      <w:tr w:rsidR="00260A3B" w14:paraId="32B1A06B" w14:textId="77777777">
        <w:tc>
          <w:tcPr>
            <w:tcW w:w="4855" w:type="dxa"/>
            <w:shd w:val="clear" w:color="auto" w:fill="FFFFFF"/>
            <w:noWrap/>
            <w:tcMar>
              <w:top w:w="75" w:type="dxa"/>
              <w:left w:w="75" w:type="dxa"/>
              <w:bottom w:w="75" w:type="dxa"/>
              <w:right w:w="75" w:type="dxa"/>
            </w:tcMar>
            <w:vAlign w:val="center"/>
          </w:tcPr>
          <w:p w14:paraId="7958A612" w14:textId="77777777" w:rsidR="00260A3B" w:rsidRDefault="00632DC2">
            <w:pPr>
              <w:jc w:val="left"/>
            </w:pPr>
            <w:r>
              <w:t>Datums**</w:t>
            </w:r>
          </w:p>
        </w:tc>
        <w:tc>
          <w:tcPr>
            <w:tcW w:w="4856" w:type="dxa"/>
            <w:shd w:val="clear" w:color="auto" w:fill="FFFFFF"/>
            <w:noWrap/>
            <w:tcMar>
              <w:top w:w="75" w:type="dxa"/>
              <w:left w:w="75" w:type="dxa"/>
              <w:bottom w:w="75" w:type="dxa"/>
              <w:right w:w="75" w:type="dxa"/>
            </w:tcMar>
            <w:vAlign w:val="center"/>
          </w:tcPr>
          <w:p w14:paraId="58E7EFF5" w14:textId="77777777" w:rsidR="00260A3B" w:rsidRDefault="00260A3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4ED67BD" w14:textId="77777777" w:rsidR="00260A3B" w:rsidRDefault="00260A3B"/>
        </w:tc>
      </w:tr>
      <w:tr w:rsidR="00260A3B" w14:paraId="3C099B1C" w14:textId="77777777">
        <w:tc>
          <w:tcPr>
            <w:tcW w:w="4855" w:type="dxa"/>
            <w:shd w:val="clear" w:color="auto" w:fill="FFFFFF"/>
            <w:noWrap/>
            <w:tcMar>
              <w:top w:w="75" w:type="dxa"/>
              <w:left w:w="75" w:type="dxa"/>
              <w:bottom w:w="75" w:type="dxa"/>
              <w:right w:w="75" w:type="dxa"/>
            </w:tcMar>
            <w:vAlign w:val="center"/>
          </w:tcPr>
          <w:p w14:paraId="6363EBC8" w14:textId="77777777" w:rsidR="00260A3B" w:rsidRDefault="00260A3B"/>
        </w:tc>
        <w:tc>
          <w:tcPr>
            <w:tcW w:w="4856" w:type="dxa"/>
            <w:shd w:val="clear" w:color="auto" w:fill="FFFFFF"/>
            <w:noWrap/>
            <w:tcMar>
              <w:top w:w="75" w:type="dxa"/>
              <w:left w:w="75" w:type="dxa"/>
              <w:bottom w:w="75" w:type="dxa"/>
              <w:right w:w="75" w:type="dxa"/>
            </w:tcMar>
            <w:vAlign w:val="center"/>
          </w:tcPr>
          <w:p w14:paraId="0B59395E" w14:textId="77777777" w:rsidR="00260A3B" w:rsidRDefault="00632DC2">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8FA793A" w14:textId="77777777" w:rsidR="00260A3B" w:rsidRDefault="00260A3B"/>
        </w:tc>
      </w:tr>
      <w:tr w:rsidR="00260A3B" w14:paraId="2CD67E46" w14:textId="77777777">
        <w:tc>
          <w:tcPr>
            <w:tcW w:w="4855" w:type="dxa"/>
            <w:shd w:val="clear" w:color="auto" w:fill="FFFFFF"/>
            <w:noWrap/>
            <w:tcMar>
              <w:top w:w="75" w:type="dxa"/>
              <w:left w:w="75" w:type="dxa"/>
              <w:bottom w:w="75" w:type="dxa"/>
              <w:right w:w="75" w:type="dxa"/>
            </w:tcMar>
            <w:vAlign w:val="center"/>
          </w:tcPr>
          <w:p w14:paraId="57905085" w14:textId="77777777" w:rsidR="00260A3B" w:rsidRDefault="00632DC2">
            <w:pPr>
              <w:jc w:val="left"/>
            </w:pPr>
            <w:r>
              <w:t>Atbildīgā persona</w:t>
            </w:r>
          </w:p>
        </w:tc>
        <w:tc>
          <w:tcPr>
            <w:tcW w:w="4856" w:type="dxa"/>
            <w:shd w:val="clear" w:color="auto" w:fill="FFFFFF"/>
            <w:noWrap/>
            <w:tcMar>
              <w:top w:w="75" w:type="dxa"/>
              <w:left w:w="75" w:type="dxa"/>
              <w:bottom w:w="75" w:type="dxa"/>
              <w:right w:w="75" w:type="dxa"/>
            </w:tcMar>
            <w:vAlign w:val="center"/>
          </w:tcPr>
          <w:p w14:paraId="566DE5DE" w14:textId="77777777" w:rsidR="00260A3B" w:rsidRDefault="00260A3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1185089" w14:textId="77777777" w:rsidR="00260A3B" w:rsidRDefault="00260A3B"/>
        </w:tc>
      </w:tr>
      <w:tr w:rsidR="00260A3B" w14:paraId="04CB007F" w14:textId="77777777">
        <w:tc>
          <w:tcPr>
            <w:tcW w:w="4855" w:type="dxa"/>
            <w:shd w:val="clear" w:color="auto" w:fill="FFFFFF"/>
            <w:noWrap/>
            <w:tcMar>
              <w:top w:w="75" w:type="dxa"/>
              <w:left w:w="75" w:type="dxa"/>
              <w:bottom w:w="75" w:type="dxa"/>
              <w:right w:w="75" w:type="dxa"/>
            </w:tcMar>
            <w:vAlign w:val="center"/>
          </w:tcPr>
          <w:p w14:paraId="3BB7097D" w14:textId="77777777" w:rsidR="00260A3B" w:rsidRDefault="00260A3B"/>
        </w:tc>
        <w:tc>
          <w:tcPr>
            <w:tcW w:w="4856" w:type="dxa"/>
            <w:shd w:val="clear" w:color="auto" w:fill="FFFFFF"/>
            <w:noWrap/>
            <w:tcMar>
              <w:top w:w="75" w:type="dxa"/>
              <w:left w:w="75" w:type="dxa"/>
              <w:bottom w:w="75" w:type="dxa"/>
              <w:right w:w="75" w:type="dxa"/>
            </w:tcMar>
            <w:vAlign w:val="center"/>
          </w:tcPr>
          <w:p w14:paraId="77F3D3E1" w14:textId="77777777" w:rsidR="00260A3B" w:rsidRDefault="00632DC2">
            <w:pPr>
              <w:jc w:val="center"/>
            </w:pPr>
            <w:r>
              <w:t>(vārds, uzvārds, paraksts**)</w:t>
            </w:r>
          </w:p>
        </w:tc>
        <w:tc>
          <w:tcPr>
            <w:tcW w:w="4856" w:type="dxa"/>
            <w:shd w:val="clear" w:color="auto" w:fill="FFFFFF"/>
            <w:noWrap/>
            <w:tcMar>
              <w:top w:w="75" w:type="dxa"/>
              <w:left w:w="75" w:type="dxa"/>
              <w:bottom w:w="75" w:type="dxa"/>
              <w:right w:w="75" w:type="dxa"/>
            </w:tcMar>
            <w:vAlign w:val="center"/>
          </w:tcPr>
          <w:p w14:paraId="601445EA" w14:textId="77777777" w:rsidR="00260A3B" w:rsidRDefault="00260A3B"/>
        </w:tc>
      </w:tr>
    </w:tbl>
    <w:p w14:paraId="7ADEBD7B" w14:textId="77777777" w:rsidR="00260A3B" w:rsidRDefault="00260A3B"/>
    <w:p w14:paraId="0FF7429C" w14:textId="6CDBAA5B" w:rsidR="00260A3B" w:rsidRDefault="00632DC2" w:rsidP="00AA5C7A">
      <w:r>
        <w:t>Piezīmes.</w:t>
      </w:r>
    </w:p>
    <w:sectPr w:rsidR="00260A3B" w:rsidSect="00AA5C7A">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4F5F" w14:textId="77777777" w:rsidR="001107AC" w:rsidRDefault="001107AC">
      <w:r>
        <w:separator/>
      </w:r>
    </w:p>
  </w:endnote>
  <w:endnote w:type="continuationSeparator" w:id="0">
    <w:p w14:paraId="3656ECD4" w14:textId="77777777" w:rsidR="001107AC" w:rsidRDefault="00110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23A7" w14:textId="77777777" w:rsidR="00260A3B" w:rsidRDefault="00632DC2">
    <w:pPr>
      <w:jc w:val="right"/>
    </w:pPr>
    <w:r>
      <w:rPr>
        <w:sz w:val="24"/>
        <w:szCs w:val="24"/>
      </w:rPr>
      <w:fldChar w:fldCharType="begin"/>
    </w:r>
    <w:r>
      <w:rPr>
        <w:sz w:val="24"/>
        <w:szCs w:val="24"/>
      </w:rPr>
      <w:instrText>PAGE</w:instrText>
    </w:r>
    <w:r>
      <w:rPr>
        <w:sz w:val="24"/>
        <w:szCs w:val="24"/>
      </w:rPr>
      <w:fldChar w:fldCharType="separate"/>
    </w:r>
    <w:r w:rsidR="0052690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ABB8" w14:textId="77777777" w:rsidR="00632DC2" w:rsidRDefault="00632DC2"/>
  <w:p w14:paraId="6FEC2651" w14:textId="77777777" w:rsidR="008F2E9F" w:rsidRDefault="008F2E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2E04" w14:textId="77777777" w:rsidR="001107AC" w:rsidRDefault="001107AC">
      <w:r>
        <w:separator/>
      </w:r>
    </w:p>
  </w:footnote>
  <w:footnote w:type="continuationSeparator" w:id="0">
    <w:p w14:paraId="58C35440" w14:textId="77777777" w:rsidR="001107AC" w:rsidRDefault="00110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7739" w14:textId="781C4DB8" w:rsidR="00260A3B" w:rsidRDefault="00632DC2" w:rsidP="00EE7BDF">
    <w:pPr>
      <w:pStyle w:val="Header"/>
      <w:contextualSpacing w:val="0"/>
    </w:pPr>
    <w:r>
      <w:t xml:space="preserve">Viedokļu pārskats </w:t>
    </w:r>
    <w:r w:rsidR="00EE7BDF" w:rsidRPr="00EE7BDF">
      <w:t>26-TA-347</w:t>
    </w:r>
    <w:r>
      <w:br/>
      <w:t>Izdrukāts 17.06.2026. 13.26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779E" w14:textId="4C0577B0" w:rsidR="00260A3B" w:rsidRDefault="00632DC2" w:rsidP="00AA5C7A">
    <w:pPr>
      <w:pStyle w:val="Header"/>
      <w:tabs>
        <w:tab w:val="left" w:pos="2268"/>
      </w:tabs>
      <w:contextualSpacing w:val="0"/>
    </w:pPr>
    <w:r>
      <w:t xml:space="preserve">Viedokļu pārskats </w:t>
    </w:r>
    <w:r w:rsidR="00D56FFC" w:rsidRPr="00D56FFC">
      <w:t>26-TA-347</w:t>
    </w:r>
    <w:r>
      <w:br/>
      <w:t>Izdrukāts</w:t>
    </w:r>
    <w:r w:rsidR="007D5297">
      <w:t xml:space="preserve"> 17</w:t>
    </w:r>
    <w:r w:rsidR="00D56FFC">
      <w:t>.06.2026.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3B"/>
    <w:rsid w:val="000156DA"/>
    <w:rsid w:val="00026B17"/>
    <w:rsid w:val="0006793C"/>
    <w:rsid w:val="0009675F"/>
    <w:rsid w:val="000A1684"/>
    <w:rsid w:val="000D3802"/>
    <w:rsid w:val="001106BB"/>
    <w:rsid w:val="001107AC"/>
    <w:rsid w:val="001371FE"/>
    <w:rsid w:val="0015215F"/>
    <w:rsid w:val="00162357"/>
    <w:rsid w:val="001979AF"/>
    <w:rsid w:val="001B2C8F"/>
    <w:rsid w:val="001C2EF3"/>
    <w:rsid w:val="001C3A39"/>
    <w:rsid w:val="001D6FC3"/>
    <w:rsid w:val="001E3D44"/>
    <w:rsid w:val="0020226F"/>
    <w:rsid w:val="00260A3B"/>
    <w:rsid w:val="00292F6D"/>
    <w:rsid w:val="002C6B40"/>
    <w:rsid w:val="002E5DC5"/>
    <w:rsid w:val="002F0EEF"/>
    <w:rsid w:val="002F15D7"/>
    <w:rsid w:val="002F7F38"/>
    <w:rsid w:val="003360D5"/>
    <w:rsid w:val="00350BDF"/>
    <w:rsid w:val="00373588"/>
    <w:rsid w:val="003B6430"/>
    <w:rsid w:val="003C14CC"/>
    <w:rsid w:val="003D01BC"/>
    <w:rsid w:val="003D41CE"/>
    <w:rsid w:val="003F554C"/>
    <w:rsid w:val="00453AB2"/>
    <w:rsid w:val="00460D82"/>
    <w:rsid w:val="004666AD"/>
    <w:rsid w:val="004948B8"/>
    <w:rsid w:val="004D230C"/>
    <w:rsid w:val="004F5A8D"/>
    <w:rsid w:val="00526900"/>
    <w:rsid w:val="00527EB4"/>
    <w:rsid w:val="00535FC4"/>
    <w:rsid w:val="0055037B"/>
    <w:rsid w:val="00556097"/>
    <w:rsid w:val="00595CE1"/>
    <w:rsid w:val="005E688C"/>
    <w:rsid w:val="00610AC3"/>
    <w:rsid w:val="00611CBC"/>
    <w:rsid w:val="00632DC2"/>
    <w:rsid w:val="00645CC2"/>
    <w:rsid w:val="00654BC0"/>
    <w:rsid w:val="006758D6"/>
    <w:rsid w:val="006D718E"/>
    <w:rsid w:val="0073506B"/>
    <w:rsid w:val="00753904"/>
    <w:rsid w:val="0079618E"/>
    <w:rsid w:val="007C7519"/>
    <w:rsid w:val="007D5297"/>
    <w:rsid w:val="0088006F"/>
    <w:rsid w:val="008B4F1B"/>
    <w:rsid w:val="008D4E8D"/>
    <w:rsid w:val="008F1AB7"/>
    <w:rsid w:val="008F2E9F"/>
    <w:rsid w:val="00945C07"/>
    <w:rsid w:val="009641E2"/>
    <w:rsid w:val="009902D7"/>
    <w:rsid w:val="009D0AF6"/>
    <w:rsid w:val="009F025C"/>
    <w:rsid w:val="00A00739"/>
    <w:rsid w:val="00A32149"/>
    <w:rsid w:val="00AA5C7A"/>
    <w:rsid w:val="00AE4637"/>
    <w:rsid w:val="00B45DEF"/>
    <w:rsid w:val="00B47E74"/>
    <w:rsid w:val="00B870E4"/>
    <w:rsid w:val="00BB61D4"/>
    <w:rsid w:val="00BE3005"/>
    <w:rsid w:val="00BE7475"/>
    <w:rsid w:val="00C40544"/>
    <w:rsid w:val="00C76662"/>
    <w:rsid w:val="00CC2BA6"/>
    <w:rsid w:val="00CD090F"/>
    <w:rsid w:val="00CD5E96"/>
    <w:rsid w:val="00D26B55"/>
    <w:rsid w:val="00D36E16"/>
    <w:rsid w:val="00D5273D"/>
    <w:rsid w:val="00D56FFC"/>
    <w:rsid w:val="00D60A3D"/>
    <w:rsid w:val="00DA111E"/>
    <w:rsid w:val="00DA7105"/>
    <w:rsid w:val="00DA75AD"/>
    <w:rsid w:val="00DC0EC5"/>
    <w:rsid w:val="00DE656A"/>
    <w:rsid w:val="00E1482D"/>
    <w:rsid w:val="00E200DE"/>
    <w:rsid w:val="00E3798F"/>
    <w:rsid w:val="00E75B3E"/>
    <w:rsid w:val="00EA08D0"/>
    <w:rsid w:val="00EC41BF"/>
    <w:rsid w:val="00EE7BDF"/>
    <w:rsid w:val="00EF3B13"/>
    <w:rsid w:val="00F140DC"/>
    <w:rsid w:val="00F46048"/>
    <w:rsid w:val="00F64D6B"/>
    <w:rsid w:val="00FB3AEC"/>
    <w:rsid w:val="00FC4387"/>
    <w:rsid w:val="00FE3EA4"/>
    <w:rsid w:val="3C865585"/>
    <w:rsid w:val="58969E79"/>
    <w:rsid w:val="594BC12E"/>
    <w:rsid w:val="624058AC"/>
    <w:rsid w:val="64CA8AC4"/>
    <w:rsid w:val="6751AA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A3AAF"/>
  <w15:docId w15:val="{9DFAE84A-9C11-4752-BEE6-42EF79CA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7D5297"/>
    <w:pPr>
      <w:tabs>
        <w:tab w:val="center" w:pos="4153"/>
        <w:tab w:val="right" w:pos="8306"/>
      </w:tabs>
    </w:pPr>
  </w:style>
  <w:style w:type="character" w:customStyle="1" w:styleId="FooterChar">
    <w:name w:val="Footer Char"/>
    <w:basedOn w:val="DefaultParagraphFont"/>
    <w:link w:val="Footer"/>
    <w:uiPriority w:val="99"/>
    <w:rsid w:val="007D5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13981</Words>
  <Characters>7970</Characters>
  <Application>Microsoft Office Word</Application>
  <DocSecurity>0</DocSecurity>
  <Lines>66</Lines>
  <Paragraphs>43</Paragraphs>
  <ScaleCrop>false</ScaleCrop>
  <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viedoklu_parskats_25-TA-3074.docx</dc:title>
  <dc:subject/>
  <dc:creator>Jānis Krakops</dc:creator>
  <cp:keywords/>
  <cp:lastModifiedBy>Jānis Krakops</cp:lastModifiedBy>
  <cp:revision>2</cp:revision>
  <dcterms:created xsi:type="dcterms:W3CDTF">2026-06-18T10:43:00Z</dcterms:created>
  <dcterms:modified xsi:type="dcterms:W3CDTF">2026-06-18T10:43:00Z</dcterms:modified>
</cp:coreProperties>
</file>