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“Publiskās apspriešanas laikā 19.08.2025. - 02.09.2025. saņemto viedokļu, priekšlikumu un iebildumu apkopojums par Grozījums Ministru kabineta 2010. gada 28. septembra noteikumos Nr.&amp;nbsp;907 "Noteikumi par dzīvojamās mājas apsekošanu, tehnisko apkopi un kārtējo remontu"”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0"/>
        <w:gridCol w:w="4055"/>
        <w:gridCol w:w="4056"/>
        <w:gridCol w:w="1650"/>
        <w:gridCol w:w="4056"/>
        <w:tblGridChange w:id="0">
          <w:tblGrid>
            <w:gridCol w:w="750"/>
            <w:gridCol w:w="4055"/>
            <w:gridCol w:w="4056"/>
            <w:gridCol w:w="1650"/>
            <w:gridCol w:w="40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Viedokļa / priekšlikuma / iebilduma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Iesniegtā viedokļa / priekšlikuma / iebilduma būtība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Ņemts vērā / ņemts vērā daļēji / nav ņemts vērā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Skaidrojums, kādā veidā viedoklis / priekšlikums / iebildums ir ņemts vērā vai ņemts vērā daļēji, vai pamatojums, ja viedoklis / priekšlikums / iebildums nav ņemts vērā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Latvijas Interneta asociācija, Andis Āriņš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MK noteikumos Nr. 907 "Noteikumi par dzīvojamās mājas apsekošanu, tehnisko apkopi un kārtējo remontu"  25-TA-1327 grozījumu projekta 7.punktā minēts, ka dzīvojamās mājas pārvaldītājs normatīvajos aktos noteiktajā kārtībā nodrošina iespēju attiecīgā inženiertīkla īpašniekam piekļūt tam piederošajiem inženiertīkliem.</w:t>
            </w:r>
            <w:r>
              <w:br/>
            </w:r>
            <w:r w:rsidR="00000000" w:rsidRPr="00000000" w:rsidDel="00000000">
              <w:rPr>
                <w:rtl w:val="0"/>
              </w:rPr>
              <w:t xml:space="preserve">Nav īsti saprotams 7.punkta atsauces uz “normatīvajos aktos noteiktajā kārtībā” mērķis, jo, piemēram, Elektronisko sakaru likuma 30.panta ceturtajā daļā ir noteikts, ka Nekustamā īpašuma īpašnieks vai valdītājs nodrošina  piekļuvi. Šajā likuma pantā nav nekas teikts, ka pārvaldniekam jānodrošina piekļuve, vai ka brīdinājumi  par piekļuves nepieciešamību būtu sūtāmi pārvaldniekam. Tāpat Anotācija nav nekas minēts par administratīvo atbildību, ja dzīvojamās mājas pārvaldītājs piekļuvi nenodrošina. Vai par piekļuves nenodrošināšanu dzīvojamās mājas pārvaldītājs saucams pie administratīvās atbildības saskaņā ar Dzīvojamo māju pārvaldīšanas likuma 29.pantu  “Administratīvie pārkāpumi dzīvojamās mājas pārvaldīšanas jomā” vai saskaņā ar Elektronisko sakaru likuma 121.panta otro daļu par piekļuves nenodrošināšanu.</w:t>
            </w:r>
            <w:r>
              <w:br/>
            </w:r>
            <w:r w:rsidR="00000000" w:rsidRPr="00000000" w:rsidDel="00000000">
              <w:rPr>
                <w:rtl w:val="0"/>
              </w:rPr>
              <w:t xml:space="preserve">Uzskatām, ka lai dzīvojamās mājas pārvaldītāju par piekļuves nenodrošināšanu sauktu pie administratīvās atbildības saskaņā ar Elektronisko sakaru likuma 121.panta  otro daļu, būtu jāpapildina Elektronisko sakaru likuma 30.panta ceturtā daļa, ka piekļuvi nodrošina arī “pārvaldītājs sadarbībā ar nekustamā īpašuma īpašnieku vai valdītāju” un elektronisko sakaru komersants ar remonta vai citu ar tīkla nodrošināšanu saistītu darbu nepieciešamību brīdina nekustamā īpašuma īpašnieku vai valdītāju, vai pārvaldnieku.</w:t>
            </w:r>
            <w:r>
              <w:br/>
            </w:r>
            <w:r w:rsidR="00000000" w:rsidRPr="00000000" w:rsidDel="00000000">
              <w:rPr>
                <w:rtl w:val="0"/>
              </w:rPr>
              <w:t xml:space="preserve">Tāpat Grozījumu projekta  anotācijā  būtu jāsniedz detalizētāks skaidrojums par 7.punkta pirmā teikuma un otrā teikuma mērķi, jo pirmais teikums pasaka, ka pārvaldniekam “jānodrošina piekļuve”, kas ir aktīva darbība, bet otrais teikums pasaka, ka pārvaldnieks “nedrīkst liegt”, kas ir pasīva darbība, t.i. pārvaldniekam jāatturas no darbību veikšanas, kas liegtu vai ierobežotu piekļuvi. Uzskatām, ka 7.punkta otrais teikums ir izslēdzams, jo ar grozījuma projekta 7.punkta pirmo teikumu pārvaldniekam ir uzlikts pienākums veikt aktīvas darbības piekļuves nodrošināšanai, kas sevī ietver arī atturēšanos no jebkādu darbību veikšanas, kas liegtu vai  ierobežotu piekļuvi.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bl>
      <w:tblPr>
        <w:tblStyle w:val="DefaultTable"/>
        <w:bidiVisual w:val="0"/>
        <w:tblW w:w="14567.0" w:type="dxa"/>
        <w:tblInd w:w="0.0" w:type="dxa"/>
        <w:jc w:val="left"/>
        <w:tblLayout w:type="fixed"/>
        <w:tblLook w:val="0600"/>
      </w:tblPr>
      <w:tblGrid>
        <w:gridCol w:w="4855"/>
        <w:gridCol w:w="4856"/>
        <w:gridCol w:w="4856"/>
        <w:tblGridChange w:id="0">
          <w:tblGrid>
            <w:gridCol w:w="4855"/>
            <w:gridCol w:w="4856"/>
            <w:gridCol w:w="4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(dd.mm.gggg)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Atbildīgā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bottom w:color="000000" w:sz="10" w:val="single" w:space="1"/>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(vārds, uzvārds, paraksts**)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Iesniedzējs (fiziskai personai – vārds, uzvārds, juridiskai personai – nosaukums) var tikt publiskots, ja viņš tam ir piekritis. Ja attiecināms, iesniedzējs norāda interešu pārstāvja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rekvizītus "datums" un "paraksts" neaizpilda, ja elektroniskais dokuments ir sagatavots atbilstoši normatīvajiem aktiem par elektronisko dokumentu noformēšanu.</w:t>
      </w:r>
    </w:p>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25-TA-1327</w:t>
    </w:r>
    <w:r>
      <w:br/>
    </w:r>
    <w:r w:rsidR="00000000" w:rsidRPr="00000000" w:rsidDel="00000000">
      <w:rPr>
        <w:rtl w:val="0"/>
      </w:rPr>
      <w:t xml:space="preserve">Izdrukāts 28.04.2026.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Viedokļu pārskats 25-TA-1327</w:t>
    </w:r>
    <w:r>
      <w:br/>
    </w:r>
    <w:r w:rsidR="00000000" w:rsidRPr="00000000" w:rsidDel="00000000">
      <w:rPr>
        <w:rtl w:val="0"/>
      </w:rPr>
      <w:t xml:space="preserve">Izdrukāts 28.04.2026.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viedoklu_parskats_25-TA-1327.docx</dc:title>
</cp:coreProperties>
</file>

<file path=docProps/custom.xml><?xml version="1.0" encoding="utf-8"?>
<Properties xmlns="http://schemas.openxmlformats.org/officeDocument/2006/custom-properties" xmlns:vt="http://schemas.openxmlformats.org/officeDocument/2006/docPropsVTypes"/>
</file>