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4872E61" w14:textId="4CB2C561" w:rsidR="0095096D" w:rsidRDefault="00000000">
      <w:pPr>
        <w:spacing w:after="240"/>
        <w:jc w:val="center"/>
        <w:rPr>
          <w:b/>
        </w:rPr>
      </w:pPr>
      <w:r>
        <w:rPr>
          <w:b/>
        </w:rPr>
        <w:t>“Publiskās apspriešanas laikā 15.01.2025. - 29.01.2025. saņemto viedokļu, priekšlikumu un iebildumu apkopojums par Grozījumi Ministru kabineta 2014. gada 20. maija noteikumos Nr</w:t>
      </w:r>
      <w:r w:rsidR="00A4497E">
        <w:rPr>
          <w:b/>
        </w:rPr>
        <w:t>.</w:t>
      </w:r>
      <w:r>
        <w:rPr>
          <w:b/>
        </w:rPr>
        <w:t>254 "Noteikumi par līgumu, kas noslēgts ārpus pastāvīgās saimnieciskās vai profesionālās darbības vietas"”</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95096D" w14:paraId="79DE735B" w14:textId="77777777">
        <w:tc>
          <w:tcPr>
            <w:tcW w:w="750" w:type="dxa"/>
            <w:shd w:val="clear" w:color="auto" w:fill="FFFFFF"/>
            <w:noWrap/>
            <w:tcMar>
              <w:top w:w="75" w:type="dxa"/>
              <w:left w:w="75" w:type="dxa"/>
              <w:bottom w:w="75" w:type="dxa"/>
              <w:right w:w="75" w:type="dxa"/>
            </w:tcMar>
            <w:vAlign w:val="center"/>
          </w:tcPr>
          <w:p w14:paraId="010B44BA" w14:textId="77777777" w:rsidR="0095096D" w:rsidRDefault="00000000">
            <w:pPr>
              <w:jc w:val="center"/>
            </w:pPr>
            <w:r>
              <w:rPr>
                <w:b/>
              </w:rPr>
              <w:t>Nr.p.k.</w:t>
            </w:r>
          </w:p>
        </w:tc>
        <w:tc>
          <w:tcPr>
            <w:tcW w:w="4055" w:type="dxa"/>
            <w:shd w:val="clear" w:color="auto" w:fill="FFFFFF"/>
            <w:noWrap/>
            <w:tcMar>
              <w:top w:w="75" w:type="dxa"/>
              <w:left w:w="75" w:type="dxa"/>
              <w:bottom w:w="75" w:type="dxa"/>
              <w:right w:w="75" w:type="dxa"/>
            </w:tcMar>
            <w:vAlign w:val="center"/>
          </w:tcPr>
          <w:p w14:paraId="28584AA5" w14:textId="77777777" w:rsidR="0095096D" w:rsidRDefault="0000000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5E3462D3" w14:textId="77777777" w:rsidR="0095096D" w:rsidRDefault="0000000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1AC0178D" w14:textId="77777777" w:rsidR="0095096D" w:rsidRDefault="0000000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565444C1" w14:textId="77777777" w:rsidR="0095096D" w:rsidRDefault="00000000">
            <w:pPr>
              <w:jc w:val="center"/>
            </w:pPr>
            <w:r>
              <w:rPr>
                <w:b/>
              </w:rPr>
              <w:t>Skaidrojums, kādā veidā viedoklis / priekšlikums / iebildums ir ņemts vērā vai ņemts vērā daļēji, vai pamatojums, ja viedoklis / priekšlikums / iebildums nav ņemts vērā</w:t>
            </w:r>
          </w:p>
        </w:tc>
      </w:tr>
      <w:tr w:rsidR="00FF649D" w14:paraId="549FF73C" w14:textId="77777777">
        <w:tc>
          <w:tcPr>
            <w:tcW w:w="750" w:type="dxa"/>
            <w:shd w:val="clear" w:color="auto" w:fill="FFFFFF"/>
            <w:noWrap/>
            <w:tcMar>
              <w:top w:w="75" w:type="dxa"/>
              <w:left w:w="75" w:type="dxa"/>
              <w:bottom w:w="75" w:type="dxa"/>
              <w:right w:w="75" w:type="dxa"/>
            </w:tcMar>
            <w:vAlign w:val="center"/>
          </w:tcPr>
          <w:p w14:paraId="582E9EEF" w14:textId="02CFF5F4" w:rsidR="00FF649D" w:rsidRDefault="00FF649D">
            <w:pPr>
              <w:jc w:val="center"/>
              <w:rPr>
                <w:b/>
              </w:rPr>
            </w:pPr>
            <w:r>
              <w:rPr>
                <w:b/>
              </w:rPr>
              <w:t>1.</w:t>
            </w:r>
          </w:p>
        </w:tc>
        <w:tc>
          <w:tcPr>
            <w:tcW w:w="4055" w:type="dxa"/>
            <w:shd w:val="clear" w:color="auto" w:fill="FFFFFF"/>
            <w:noWrap/>
            <w:tcMar>
              <w:top w:w="75" w:type="dxa"/>
              <w:left w:w="75" w:type="dxa"/>
              <w:bottom w:w="75" w:type="dxa"/>
              <w:right w:w="75" w:type="dxa"/>
            </w:tcMar>
            <w:vAlign w:val="center"/>
          </w:tcPr>
          <w:p w14:paraId="0F94268C" w14:textId="1DCC6FE4" w:rsidR="00FF649D" w:rsidRPr="00FF649D" w:rsidRDefault="00FF649D">
            <w:pPr>
              <w:jc w:val="center"/>
              <w:rPr>
                <w:b/>
              </w:rPr>
            </w:pPr>
            <w:r w:rsidRPr="00FF649D">
              <w:rPr>
                <w:b/>
              </w:rPr>
              <w:t>Latvijas Tirdzniecības un rūpniecības kamera</w:t>
            </w:r>
          </w:p>
        </w:tc>
        <w:tc>
          <w:tcPr>
            <w:tcW w:w="4056" w:type="dxa"/>
            <w:shd w:val="clear" w:color="auto" w:fill="FFFFFF"/>
            <w:noWrap/>
            <w:tcMar>
              <w:top w:w="75" w:type="dxa"/>
              <w:left w:w="75" w:type="dxa"/>
              <w:bottom w:w="75" w:type="dxa"/>
              <w:right w:w="75" w:type="dxa"/>
            </w:tcMar>
            <w:vAlign w:val="center"/>
          </w:tcPr>
          <w:p w14:paraId="2E701B7F" w14:textId="77777777" w:rsidR="00FF649D" w:rsidRPr="00FF649D" w:rsidRDefault="00FF649D" w:rsidP="00FF649D">
            <w:pPr>
              <w:rPr>
                <w:bCs/>
              </w:rPr>
            </w:pPr>
            <w:r w:rsidRPr="00FF649D">
              <w:rPr>
                <w:bCs/>
              </w:rPr>
              <w:t xml:space="preserve">Latvijas Tirdzniecības un rūpniecības kamera (turpmāk – LTRK) ir izvērtējusi Ekonomikas ministrijas izstrādātos tiesību aktu projektus “Grozījumi Ministru kabineta 2014. gada 20. maija noteikumos Nr. 254 "Noteikumi par līgumu, kas noslēgts ārpus pastāvīgās saimnieciskās vai profesionālās darbības vietas"” (24-TA-1828) un "Grozījumi Ministru kabineta 2014. gada 20. maija noteikumos Nr. 255 "Noteikumi par distances līgumu"" (24-TA-1829), kas abi izstrādāti saistībā ar Zaļā </w:t>
            </w:r>
            <w:r w:rsidRPr="00FF649D">
              <w:rPr>
                <w:bCs/>
              </w:rPr>
              <w:lastRenderedPageBreak/>
              <w:t>pārkārtošanās akta (Eiropas Parlamenta un Padomes 2024. gada 28. februāra Direktīva (ES) 2024/825, ar ko attiecībā uz patērētāju dalības veicināšanu zaļās pārkārtošanās procesā, nodrošinot viņiem labāku aizsardzību pret negodīgu praksi un labāku informētību, groza Direktīvas 2005/29/EK un 2011/83/ES) prasību pārņemšanu.</w:t>
            </w:r>
          </w:p>
          <w:p w14:paraId="1DDB9242" w14:textId="77777777" w:rsidR="00FF649D" w:rsidRPr="00FF649D" w:rsidRDefault="00FF649D" w:rsidP="00FF649D">
            <w:pPr>
              <w:rPr>
                <w:bCs/>
              </w:rPr>
            </w:pPr>
            <w:r w:rsidRPr="00FF649D">
              <w:rPr>
                <w:bCs/>
              </w:rPr>
              <w:t xml:space="preserve">Saistībā ar direktīvas pārņemšanu ir izstrādāti arī divi likumprojekti, kas šobrīd tiek skatīti Saeimā - „Grozījumi Negodīgas komercprakses aizlieguma likumā” un „Grozījumi Patērētāju tiesību aizsardzības likumā”. Vērtējot gan direktīvu, gan abus izstrādātos likumprojektus, rodas iespaids, ka direktīva pēc būtības jau tiek pārņemta ar likumprojektiem, piemēram, direktīvā ietvertās definīcijas un papildinājumi maldinošai komercpraksei tiek iestrādāti Negodīgas komercprakses aizlieguma likumā. </w:t>
            </w:r>
          </w:p>
          <w:p w14:paraId="419775AB" w14:textId="0B86AD85" w:rsidR="00FF649D" w:rsidRPr="00FF649D" w:rsidRDefault="00FF649D" w:rsidP="00FF649D">
            <w:pPr>
              <w:rPr>
                <w:bCs/>
              </w:rPr>
            </w:pPr>
            <w:r w:rsidRPr="00FF649D">
              <w:rPr>
                <w:bCs/>
              </w:rPr>
              <w:lastRenderedPageBreak/>
              <w:t>Savukārt, vērtējot abu noteikumu projektu mērķus, norādāms, ka tiem pēc būtības nav nekādas saistības ar direktīvas mērķi - mazināt pircēju maldināšanu ar nepārbaudāmu, nesalīdzināmu un dažkārt pat absurdu informāciju. LTRK ieskatā direktīvas mērķis ir atbalstāms, taču abu noteikumu mērķis ir pārņemt direktīvu (birokrātisks), neatbildot uz direktīvas pamatjautājumiem. LTRK ieskatā direktīva primāri prasa valsts institūciju atbildību kontrolē, lai ražotājs vai tirgotājs uz preču iepakojuma nenorādītu jebkādu maldinošu informāciju. Taču direktīva neuzliek pienākumu izvietot nemaldinošu informāciju, kā tas izriet no tiesību aktu projektiem. Proti, LTRK ieskatā pastāv pretrunas starp to, ko direktīva vēlas risināt, un to, kā prasību pārņemšana tiek īstenota nacionālajā regulējumā.</w:t>
            </w:r>
          </w:p>
        </w:tc>
        <w:tc>
          <w:tcPr>
            <w:tcW w:w="1650" w:type="dxa"/>
            <w:shd w:val="clear" w:color="auto" w:fill="FFFFFF"/>
            <w:noWrap/>
            <w:tcMar>
              <w:top w:w="75" w:type="dxa"/>
              <w:left w:w="75" w:type="dxa"/>
              <w:bottom w:w="75" w:type="dxa"/>
              <w:right w:w="75" w:type="dxa"/>
            </w:tcMar>
            <w:vAlign w:val="center"/>
          </w:tcPr>
          <w:p w14:paraId="6A89EC6C" w14:textId="474BD264" w:rsidR="00FF649D" w:rsidRDefault="00A4497E">
            <w:pPr>
              <w:jc w:val="center"/>
              <w:rPr>
                <w:b/>
              </w:rPr>
            </w:pPr>
            <w:r>
              <w:rPr>
                <w:b/>
              </w:rPr>
              <w:lastRenderedPageBreak/>
              <w:t>Nav ņemts vērā</w:t>
            </w:r>
          </w:p>
        </w:tc>
        <w:tc>
          <w:tcPr>
            <w:tcW w:w="4056" w:type="dxa"/>
            <w:shd w:val="clear" w:color="auto" w:fill="FFFFFF"/>
            <w:noWrap/>
            <w:tcMar>
              <w:top w:w="75" w:type="dxa"/>
              <w:left w:w="75" w:type="dxa"/>
              <w:bottom w:w="75" w:type="dxa"/>
              <w:right w:w="75" w:type="dxa"/>
            </w:tcMar>
            <w:vAlign w:val="center"/>
          </w:tcPr>
          <w:p w14:paraId="6A5A6CDA" w14:textId="77777777" w:rsidR="00FF649D" w:rsidRDefault="00A4497E" w:rsidP="00A4497E">
            <w:pPr>
              <w:rPr>
                <w:bCs/>
              </w:rPr>
            </w:pPr>
            <w:r w:rsidRPr="00A4497E">
              <w:rPr>
                <w:bCs/>
              </w:rPr>
              <w:t xml:space="preserve">Ekonomikas ministrija ir </w:t>
            </w:r>
            <w:r>
              <w:rPr>
                <w:bCs/>
              </w:rPr>
              <w:t>izskatījusi LTRK viedokli attiecībā uz šo noteikumu projektu, kā arī noteikumu projektu “</w:t>
            </w:r>
            <w:r w:rsidRPr="00A4497E">
              <w:rPr>
                <w:bCs/>
              </w:rPr>
              <w:t>Grozījumi Ministru kabineta 2014. gada 20. maija noteikumos Nr.255 "</w:t>
            </w:r>
            <w:r w:rsidRPr="00A4497E">
              <w:rPr>
                <w:bCs/>
                <w:i/>
                <w:iCs/>
              </w:rPr>
              <w:t>Noteikumi par distances līgumu</w:t>
            </w:r>
            <w:r>
              <w:rPr>
                <w:bCs/>
              </w:rPr>
              <w:t xml:space="preserve">””. </w:t>
            </w:r>
          </w:p>
          <w:p w14:paraId="7183FEBE" w14:textId="77777777" w:rsidR="00A4497E" w:rsidRDefault="00A4497E" w:rsidP="00A4497E">
            <w:pPr>
              <w:rPr>
                <w:bCs/>
              </w:rPr>
            </w:pPr>
            <w:r>
              <w:rPr>
                <w:bCs/>
              </w:rPr>
              <w:t xml:space="preserve">Ministrija norāda, ka, pārņemot Direktīvas prasības, tiek veikti grozījumi kopumā 4 normatīvajos aktos. Abi iepriekš minētie Ministru kabineta noteikumi tiek grozīti, ņemot vērā, ka tajos ir ietvertas atsevišķas informēšanas prasības līgumiem, kas noslēgti </w:t>
            </w:r>
            <w:r>
              <w:rPr>
                <w:bCs/>
              </w:rPr>
              <w:lastRenderedPageBreak/>
              <w:t xml:space="preserve">ārpus pastāvīgās tirdzniecības vietas vai distances līgumiem, un konkrētās prasības nav ietvertas nevienā citā normatīvajā aktā, piemēram, Patērētāju tiesību aizsardzības likuma normās. </w:t>
            </w:r>
          </w:p>
          <w:p w14:paraId="1FC68B0C" w14:textId="0DCC3E21" w:rsidR="00C06649" w:rsidRDefault="00C06649" w:rsidP="00A4497E">
            <w:pPr>
              <w:rPr>
                <w:bCs/>
              </w:rPr>
            </w:pPr>
            <w:r>
              <w:rPr>
                <w:bCs/>
              </w:rPr>
              <w:t>Noteikumu projekta mērķis ir, atbilstoši Direktīvas prasībām, precizēt atsevišķus noteikumu punktus</w:t>
            </w:r>
            <w:r w:rsidR="0026765E">
              <w:rPr>
                <w:bCs/>
              </w:rPr>
              <w:t xml:space="preserve"> attiecībā uz informēšanas pienākumu, kā arī papildināt Noteikumus ar vairākiem jauniem punktiem, kas cita starpā paredz, piemēram, sniegt informāciju, izmantojot saskaņoto paziņojumu un saskaņoto marķējumu, jo šī prasība atbilstoši Direktīvai attiecas arī uz tādiem līgumiem, kas noslēgti ārpus pastāvīgās tirdzniecības vietas vai izmantojot distances līgumus starpniecību. Attiecīgi, lai minētās normas būtu iespējams piemērot, ir jāveic atbilstoši grozījumi Ministru kabineta noteikumos. </w:t>
            </w:r>
          </w:p>
          <w:p w14:paraId="483FDA21" w14:textId="3229E98B" w:rsidR="0026765E" w:rsidRPr="00A4497E" w:rsidRDefault="0026765E" w:rsidP="00A4497E">
            <w:pPr>
              <w:rPr>
                <w:bCs/>
              </w:rPr>
            </w:pPr>
          </w:p>
        </w:tc>
      </w:tr>
    </w:tbl>
    <w:p w14:paraId="65FC62B1" w14:textId="77777777" w:rsidR="0095096D" w:rsidRDefault="0095096D"/>
    <w:p w14:paraId="7D9D04C9" w14:textId="77777777" w:rsidR="00C851BE" w:rsidRDefault="00C851BE"/>
    <w:tbl>
      <w:tblPr>
        <w:tblStyle w:val="a"/>
        <w:tblW w:w="14567" w:type="dxa"/>
        <w:tblLayout w:type="fixed"/>
        <w:tblLook w:val="0600" w:firstRow="0" w:lastRow="0" w:firstColumn="0" w:lastColumn="0" w:noHBand="1" w:noVBand="1"/>
      </w:tblPr>
      <w:tblGrid>
        <w:gridCol w:w="4855"/>
        <w:gridCol w:w="4856"/>
        <w:gridCol w:w="4856"/>
      </w:tblGrid>
      <w:tr w:rsidR="0095096D" w14:paraId="0D2BAC8A" w14:textId="77777777">
        <w:tc>
          <w:tcPr>
            <w:tcW w:w="4855" w:type="dxa"/>
            <w:shd w:val="clear" w:color="auto" w:fill="FFFFFF"/>
            <w:noWrap/>
            <w:tcMar>
              <w:top w:w="75" w:type="dxa"/>
              <w:left w:w="75" w:type="dxa"/>
              <w:bottom w:w="75" w:type="dxa"/>
              <w:right w:w="75" w:type="dxa"/>
            </w:tcMar>
            <w:vAlign w:val="center"/>
          </w:tcPr>
          <w:p w14:paraId="1E630B3A" w14:textId="77777777" w:rsidR="0095096D" w:rsidRDefault="00000000">
            <w:pPr>
              <w:jc w:val="left"/>
            </w:pPr>
            <w:r>
              <w:lastRenderedPageBreak/>
              <w:t>Datums**</w:t>
            </w:r>
          </w:p>
        </w:tc>
        <w:tc>
          <w:tcPr>
            <w:tcW w:w="4856" w:type="dxa"/>
            <w:shd w:val="clear" w:color="auto" w:fill="FFFFFF"/>
            <w:noWrap/>
            <w:tcMar>
              <w:top w:w="75" w:type="dxa"/>
              <w:left w:w="75" w:type="dxa"/>
              <w:bottom w:w="75" w:type="dxa"/>
              <w:right w:w="75" w:type="dxa"/>
            </w:tcMar>
            <w:vAlign w:val="center"/>
          </w:tcPr>
          <w:p w14:paraId="58B26B43" w14:textId="4B6EF713" w:rsidR="0095096D" w:rsidRDefault="00C851BE">
            <w:pPr>
              <w:pBdr>
                <w:bottom w:val="single" w:sz="10" w:space="1" w:color="000000"/>
              </w:pBdr>
            </w:pPr>
            <w:r>
              <w:t>11.02.2025.</w:t>
            </w:r>
          </w:p>
        </w:tc>
        <w:tc>
          <w:tcPr>
            <w:tcW w:w="4856" w:type="dxa"/>
            <w:shd w:val="clear" w:color="auto" w:fill="FFFFFF"/>
            <w:noWrap/>
            <w:tcMar>
              <w:top w:w="75" w:type="dxa"/>
              <w:left w:w="75" w:type="dxa"/>
              <w:bottom w:w="75" w:type="dxa"/>
              <w:right w:w="75" w:type="dxa"/>
            </w:tcMar>
            <w:vAlign w:val="center"/>
          </w:tcPr>
          <w:p w14:paraId="4FC9D636" w14:textId="77777777" w:rsidR="0095096D" w:rsidRDefault="0095096D"/>
        </w:tc>
      </w:tr>
      <w:tr w:rsidR="0095096D" w14:paraId="1335D0D4" w14:textId="77777777">
        <w:tc>
          <w:tcPr>
            <w:tcW w:w="4855" w:type="dxa"/>
            <w:shd w:val="clear" w:color="auto" w:fill="FFFFFF"/>
            <w:noWrap/>
            <w:tcMar>
              <w:top w:w="75" w:type="dxa"/>
              <w:left w:w="75" w:type="dxa"/>
              <w:bottom w:w="75" w:type="dxa"/>
              <w:right w:w="75" w:type="dxa"/>
            </w:tcMar>
            <w:vAlign w:val="center"/>
          </w:tcPr>
          <w:p w14:paraId="5F86D238" w14:textId="77777777" w:rsidR="0095096D" w:rsidRDefault="0095096D"/>
        </w:tc>
        <w:tc>
          <w:tcPr>
            <w:tcW w:w="4856" w:type="dxa"/>
            <w:shd w:val="clear" w:color="auto" w:fill="FFFFFF"/>
            <w:noWrap/>
            <w:tcMar>
              <w:top w:w="75" w:type="dxa"/>
              <w:left w:w="75" w:type="dxa"/>
              <w:bottom w:w="75" w:type="dxa"/>
              <w:right w:w="75" w:type="dxa"/>
            </w:tcMar>
            <w:vAlign w:val="center"/>
          </w:tcPr>
          <w:p w14:paraId="523B8F00" w14:textId="77777777" w:rsidR="0095096D" w:rsidRDefault="00000000">
            <w:pPr>
              <w:jc w:val="center"/>
            </w:pPr>
            <w:r>
              <w:t>(dd.mm.gggg)</w:t>
            </w:r>
          </w:p>
        </w:tc>
        <w:tc>
          <w:tcPr>
            <w:tcW w:w="4856" w:type="dxa"/>
            <w:shd w:val="clear" w:color="auto" w:fill="FFFFFF"/>
            <w:noWrap/>
            <w:tcMar>
              <w:top w:w="75" w:type="dxa"/>
              <w:left w:w="75" w:type="dxa"/>
              <w:bottom w:w="75" w:type="dxa"/>
              <w:right w:w="75" w:type="dxa"/>
            </w:tcMar>
            <w:vAlign w:val="center"/>
          </w:tcPr>
          <w:p w14:paraId="51E9D8FA" w14:textId="77777777" w:rsidR="0095096D" w:rsidRDefault="0095096D"/>
        </w:tc>
      </w:tr>
      <w:tr w:rsidR="0095096D" w14:paraId="0714D2E5" w14:textId="77777777">
        <w:tc>
          <w:tcPr>
            <w:tcW w:w="4855" w:type="dxa"/>
            <w:shd w:val="clear" w:color="auto" w:fill="FFFFFF"/>
            <w:noWrap/>
            <w:tcMar>
              <w:top w:w="75" w:type="dxa"/>
              <w:left w:w="75" w:type="dxa"/>
              <w:bottom w:w="75" w:type="dxa"/>
              <w:right w:w="75" w:type="dxa"/>
            </w:tcMar>
            <w:vAlign w:val="center"/>
          </w:tcPr>
          <w:p w14:paraId="12991EF9" w14:textId="77777777" w:rsidR="0095096D" w:rsidRDefault="00000000">
            <w:pPr>
              <w:jc w:val="left"/>
            </w:pPr>
            <w:r>
              <w:t>Atbildīgā persona</w:t>
            </w:r>
          </w:p>
        </w:tc>
        <w:tc>
          <w:tcPr>
            <w:tcW w:w="4856" w:type="dxa"/>
            <w:shd w:val="clear" w:color="auto" w:fill="FFFFFF"/>
            <w:noWrap/>
            <w:tcMar>
              <w:top w:w="75" w:type="dxa"/>
              <w:left w:w="75" w:type="dxa"/>
              <w:bottom w:w="75" w:type="dxa"/>
              <w:right w:w="75" w:type="dxa"/>
            </w:tcMar>
            <w:vAlign w:val="center"/>
          </w:tcPr>
          <w:p w14:paraId="1745F4A6" w14:textId="12ADFC3E" w:rsidR="0095096D" w:rsidRDefault="00FF649D">
            <w:pPr>
              <w:pBdr>
                <w:bottom w:val="single" w:sz="10" w:space="1" w:color="000000"/>
              </w:pBdr>
            </w:pPr>
            <w:r>
              <w:t>Santa Buša</w:t>
            </w:r>
          </w:p>
        </w:tc>
        <w:tc>
          <w:tcPr>
            <w:tcW w:w="4856" w:type="dxa"/>
            <w:shd w:val="clear" w:color="auto" w:fill="FFFFFF"/>
            <w:noWrap/>
            <w:tcMar>
              <w:top w:w="75" w:type="dxa"/>
              <w:left w:w="75" w:type="dxa"/>
              <w:bottom w:w="75" w:type="dxa"/>
              <w:right w:w="75" w:type="dxa"/>
            </w:tcMar>
            <w:vAlign w:val="center"/>
          </w:tcPr>
          <w:p w14:paraId="71C75500" w14:textId="77777777" w:rsidR="0095096D" w:rsidRDefault="0095096D"/>
        </w:tc>
      </w:tr>
      <w:tr w:rsidR="0095096D" w14:paraId="7D7B66AB" w14:textId="77777777">
        <w:tc>
          <w:tcPr>
            <w:tcW w:w="4855" w:type="dxa"/>
            <w:shd w:val="clear" w:color="auto" w:fill="FFFFFF"/>
            <w:noWrap/>
            <w:tcMar>
              <w:top w:w="75" w:type="dxa"/>
              <w:left w:w="75" w:type="dxa"/>
              <w:bottom w:w="75" w:type="dxa"/>
              <w:right w:w="75" w:type="dxa"/>
            </w:tcMar>
            <w:vAlign w:val="center"/>
          </w:tcPr>
          <w:p w14:paraId="44EB5244" w14:textId="77777777" w:rsidR="0095096D" w:rsidRDefault="0095096D"/>
        </w:tc>
        <w:tc>
          <w:tcPr>
            <w:tcW w:w="4856" w:type="dxa"/>
            <w:shd w:val="clear" w:color="auto" w:fill="FFFFFF"/>
            <w:noWrap/>
            <w:tcMar>
              <w:top w:w="75" w:type="dxa"/>
              <w:left w:w="75" w:type="dxa"/>
              <w:bottom w:w="75" w:type="dxa"/>
              <w:right w:w="75" w:type="dxa"/>
            </w:tcMar>
            <w:vAlign w:val="center"/>
          </w:tcPr>
          <w:p w14:paraId="12BFC197" w14:textId="77777777" w:rsidR="0095096D"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61726AE3" w14:textId="77777777" w:rsidR="0095096D" w:rsidRDefault="0095096D"/>
        </w:tc>
      </w:tr>
    </w:tbl>
    <w:p w14:paraId="021EB705" w14:textId="77777777" w:rsidR="0095096D" w:rsidRDefault="0095096D"/>
    <w:p w14:paraId="6F5FE8E5" w14:textId="77777777" w:rsidR="0095096D" w:rsidRDefault="00000000">
      <w:r>
        <w:t>Piezīmes.</w:t>
      </w:r>
    </w:p>
    <w:p w14:paraId="4D768E3B" w14:textId="77777777" w:rsidR="0095096D" w:rsidRDefault="00000000">
      <w:r>
        <w:t>* Iesniedzējs (fiziskai personai – vārds, uzvārds, juridiskai personai – nosaukums) var tikt publiskots, ja viņš tam ir piekritis. Ja attiecināms, iesniedzējs norāda interešu pārstāvja reģistrācijas numuru.</w:t>
      </w:r>
    </w:p>
    <w:p w14:paraId="583B53B6" w14:textId="77777777" w:rsidR="0095096D" w:rsidRDefault="00000000">
      <w:r>
        <w:t>** Dokumenta rekvizītus "datums" un "paraksts" neaizpilda, ja elektroniskais dokuments ir sagatavots atbilstoši normatīvajiem aktiem par elektronisko dokumentu noformēšanu.</w:t>
      </w:r>
    </w:p>
    <w:sectPr w:rsidR="0095096D">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53155" w14:textId="77777777" w:rsidR="00BE6A9C" w:rsidRDefault="00BE6A9C">
      <w:r>
        <w:separator/>
      </w:r>
    </w:p>
  </w:endnote>
  <w:endnote w:type="continuationSeparator" w:id="0">
    <w:p w14:paraId="094DA335" w14:textId="77777777" w:rsidR="00BE6A9C" w:rsidRDefault="00BE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75D67" w14:textId="460308C4" w:rsidR="0095096D" w:rsidRDefault="00000000">
    <w:pPr>
      <w:jc w:val="right"/>
    </w:pPr>
    <w:r>
      <w:rPr>
        <w:sz w:val="24"/>
        <w:szCs w:val="24"/>
      </w:rPr>
      <w:fldChar w:fldCharType="begin"/>
    </w:r>
    <w:r>
      <w:rPr>
        <w:sz w:val="24"/>
        <w:szCs w:val="24"/>
      </w:rPr>
      <w:instrText>PAGE</w:instrText>
    </w:r>
    <w:r>
      <w:rPr>
        <w:sz w:val="24"/>
        <w:szCs w:val="24"/>
      </w:rPr>
      <w:fldChar w:fldCharType="separate"/>
    </w:r>
    <w:r w:rsidR="00FF649D">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850FE" w14:textId="77777777" w:rsidR="00F53B77"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D9B86" w14:textId="77777777" w:rsidR="00BE6A9C" w:rsidRDefault="00BE6A9C">
      <w:r>
        <w:separator/>
      </w:r>
    </w:p>
  </w:footnote>
  <w:footnote w:type="continuationSeparator" w:id="0">
    <w:p w14:paraId="5EBF2B42" w14:textId="77777777" w:rsidR="00BE6A9C" w:rsidRDefault="00BE6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DFC84" w14:textId="77777777" w:rsidR="0095096D" w:rsidRDefault="00000000">
    <w:pPr>
      <w:pStyle w:val="Header"/>
      <w:contextualSpacing w:val="0"/>
    </w:pPr>
    <w:r>
      <w:t>Viedokļu pārskats 24-TA-1828</w:t>
    </w:r>
    <w:r>
      <w:br/>
      <w:t>Izdrukāts 30.01.2025. 11.36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DCD9D" w14:textId="77777777" w:rsidR="0095096D" w:rsidRDefault="00000000">
    <w:pPr>
      <w:pStyle w:val="Header"/>
      <w:contextualSpacing w:val="0"/>
    </w:pPr>
    <w:r>
      <w:t>Viedokļu pārskats 24-TA-1828</w:t>
    </w:r>
    <w:r>
      <w:br/>
      <w:t>Izdrukāts 30.01.2025. 11.36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95096D"/>
    <w:rsid w:val="00091894"/>
    <w:rsid w:val="001C43E6"/>
    <w:rsid w:val="001D681E"/>
    <w:rsid w:val="0026765E"/>
    <w:rsid w:val="004507BA"/>
    <w:rsid w:val="00525911"/>
    <w:rsid w:val="007138AA"/>
    <w:rsid w:val="007E2553"/>
    <w:rsid w:val="0095096D"/>
    <w:rsid w:val="00A4497E"/>
    <w:rsid w:val="00BE6A9C"/>
    <w:rsid w:val="00C06649"/>
    <w:rsid w:val="00C851BE"/>
    <w:rsid w:val="00F53B77"/>
    <w:rsid w:val="00FF64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26003"/>
  <w15:docId w15:val="{3A3A5B7C-1CAB-478D-8DE4-EB32DB38B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006867">
      <w:bodyDiv w:val="1"/>
      <w:marLeft w:val="0"/>
      <w:marRight w:val="0"/>
      <w:marTop w:val="0"/>
      <w:marBottom w:val="0"/>
      <w:divBdr>
        <w:top w:val="none" w:sz="0" w:space="0" w:color="auto"/>
        <w:left w:val="none" w:sz="0" w:space="0" w:color="auto"/>
        <w:bottom w:val="none" w:sz="0" w:space="0" w:color="auto"/>
        <w:right w:val="none" w:sz="0" w:space="0" w:color="auto"/>
      </w:divBdr>
    </w:div>
    <w:div w:id="2037457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2871</Words>
  <Characters>1638</Characters>
  <Application>Microsoft Office Word</Application>
  <DocSecurity>0</DocSecurity>
  <Lines>13</Lines>
  <Paragraphs>8</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viedoklu_parskats_24-TA-1828.docx</dc:title>
  <cp:lastModifiedBy>Santa Buša</cp:lastModifiedBy>
  <cp:revision>6</cp:revision>
  <dcterms:created xsi:type="dcterms:W3CDTF">2025-02-05T11:17:00Z</dcterms:created>
  <dcterms:modified xsi:type="dcterms:W3CDTF">2025-02-11T07:33:00Z</dcterms:modified>
</cp:coreProperties>
</file>