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9CEA270" w14:textId="77777777" w:rsidR="00425F11" w:rsidRDefault="00B64482">
      <w:pPr>
        <w:spacing w:after="240"/>
        <w:jc w:val="center"/>
        <w:rPr>
          <w:b/>
        </w:rPr>
      </w:pPr>
      <w:r>
        <w:rPr>
          <w:b/>
        </w:rPr>
        <w:t>“Publiskās apspriešanas laikā 17.09.2025. - 01.10.2025. saņemto viedokļu, priekšlikumu un iebildumu apkopojums par Grozījumi Ministru kabineta 2012. gada 24. aprīļa noteikumos Nr.&amp;nbsp;281 "Augstas detalizācijas topogrāfiskās informācijas un tās centrālās datubāzes noteikumi"”</w:t>
      </w:r>
    </w:p>
    <w:tbl>
      <w:tblPr>
        <w:tblStyle w:val="a"/>
        <w:tblW w:w="14567" w:type="dxa"/>
        <w:tblInd w:w="0"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055"/>
        <w:gridCol w:w="4056"/>
        <w:gridCol w:w="1650"/>
        <w:gridCol w:w="4056"/>
      </w:tblGrid>
      <w:tr w:rsidR="00425F11" w14:paraId="0ED5A90C" w14:textId="77777777">
        <w:tc>
          <w:tcPr>
            <w:tcW w:w="750" w:type="dxa"/>
            <w:shd w:val="clear" w:color="auto" w:fill="FFFFFF"/>
            <w:noWrap/>
            <w:tcMar>
              <w:top w:w="75" w:type="dxa"/>
              <w:left w:w="75" w:type="dxa"/>
              <w:bottom w:w="75" w:type="dxa"/>
              <w:right w:w="75" w:type="dxa"/>
            </w:tcMar>
            <w:vAlign w:val="center"/>
          </w:tcPr>
          <w:p w14:paraId="573A490D" w14:textId="77777777" w:rsidR="00425F11" w:rsidRDefault="00B64482">
            <w:pPr>
              <w:spacing w:line="240" w:lineRule="auto"/>
              <w:jc w:val="center"/>
            </w:pPr>
            <w:proofErr w:type="spellStart"/>
            <w:r>
              <w:rPr>
                <w:b/>
              </w:rPr>
              <w:t>Nr.p.k</w:t>
            </w:r>
            <w:proofErr w:type="spellEnd"/>
            <w:r>
              <w:rPr>
                <w:b/>
              </w:rPr>
              <w:t>.</w:t>
            </w:r>
          </w:p>
        </w:tc>
        <w:tc>
          <w:tcPr>
            <w:tcW w:w="4055" w:type="dxa"/>
            <w:shd w:val="clear" w:color="auto" w:fill="FFFFFF"/>
            <w:noWrap/>
            <w:tcMar>
              <w:top w:w="75" w:type="dxa"/>
              <w:left w:w="75" w:type="dxa"/>
              <w:bottom w:w="75" w:type="dxa"/>
              <w:right w:w="75" w:type="dxa"/>
            </w:tcMar>
            <w:vAlign w:val="center"/>
          </w:tcPr>
          <w:p w14:paraId="7211518F" w14:textId="77777777" w:rsidR="00425F11" w:rsidRDefault="00B64482">
            <w:pPr>
              <w:spacing w:line="240" w:lineRule="auto"/>
              <w:jc w:val="center"/>
            </w:pPr>
            <w:r>
              <w:rPr>
                <w:b/>
              </w:rPr>
              <w:t>Viedokļa / priekšlikuma / iebilduma iesniedzējs*</w:t>
            </w:r>
          </w:p>
        </w:tc>
        <w:tc>
          <w:tcPr>
            <w:tcW w:w="4056" w:type="dxa"/>
            <w:shd w:val="clear" w:color="auto" w:fill="FFFFFF"/>
            <w:noWrap/>
            <w:tcMar>
              <w:top w:w="75" w:type="dxa"/>
              <w:left w:w="75" w:type="dxa"/>
              <w:bottom w:w="75" w:type="dxa"/>
              <w:right w:w="75" w:type="dxa"/>
            </w:tcMar>
            <w:vAlign w:val="center"/>
          </w:tcPr>
          <w:p w14:paraId="1D72D2FD" w14:textId="77777777" w:rsidR="00425F11" w:rsidRDefault="00B64482">
            <w:pPr>
              <w:spacing w:line="240" w:lineRule="auto"/>
              <w:jc w:val="center"/>
            </w:pPr>
            <w:r>
              <w:rPr>
                <w:b/>
              </w:rPr>
              <w:t>Iesniegtā viedokļa / priekšlikuma / iebilduma būtība</w:t>
            </w:r>
          </w:p>
        </w:tc>
        <w:tc>
          <w:tcPr>
            <w:tcW w:w="1650" w:type="dxa"/>
            <w:shd w:val="clear" w:color="auto" w:fill="FFFFFF"/>
            <w:noWrap/>
            <w:tcMar>
              <w:top w:w="75" w:type="dxa"/>
              <w:left w:w="75" w:type="dxa"/>
              <w:bottom w:w="75" w:type="dxa"/>
              <w:right w:w="75" w:type="dxa"/>
            </w:tcMar>
            <w:vAlign w:val="center"/>
          </w:tcPr>
          <w:p w14:paraId="5914E716" w14:textId="77777777" w:rsidR="00425F11" w:rsidRDefault="00B64482">
            <w:pPr>
              <w:spacing w:line="240" w:lineRule="auto"/>
              <w:jc w:val="center"/>
            </w:pPr>
            <w:r>
              <w:rPr>
                <w:b/>
              </w:rPr>
              <w:t>Ņemts vērā / ņemts vērā daļēji / nav ņemts vērā</w:t>
            </w:r>
          </w:p>
        </w:tc>
        <w:tc>
          <w:tcPr>
            <w:tcW w:w="4056" w:type="dxa"/>
            <w:shd w:val="clear" w:color="auto" w:fill="FFFFFF"/>
            <w:noWrap/>
            <w:tcMar>
              <w:top w:w="75" w:type="dxa"/>
              <w:left w:w="75" w:type="dxa"/>
              <w:bottom w:w="75" w:type="dxa"/>
              <w:right w:w="75" w:type="dxa"/>
            </w:tcMar>
            <w:vAlign w:val="center"/>
          </w:tcPr>
          <w:p w14:paraId="11F21328" w14:textId="77777777" w:rsidR="00425F11" w:rsidRDefault="00B64482">
            <w:pPr>
              <w:spacing w:line="240" w:lineRule="auto"/>
              <w:jc w:val="center"/>
            </w:pPr>
            <w:r>
              <w:rPr>
                <w:b/>
              </w:rPr>
              <w:t>Skaidrojums, kādā veidā viedoklis / priekšlikums / iebildums ir ņemts vērā vai ņemts vērā daļēji, vai pamatojums, ja viedoklis / priekšlikums / iebildums nav ņemts vērā</w:t>
            </w:r>
          </w:p>
        </w:tc>
      </w:tr>
      <w:tr w:rsidR="00425F11" w14:paraId="24661A5E" w14:textId="77777777">
        <w:tc>
          <w:tcPr>
            <w:tcW w:w="750" w:type="dxa"/>
            <w:shd w:val="clear" w:color="auto" w:fill="FFFFFF"/>
            <w:noWrap/>
            <w:tcMar>
              <w:top w:w="75" w:type="dxa"/>
              <w:left w:w="75" w:type="dxa"/>
              <w:bottom w:w="75" w:type="dxa"/>
              <w:right w:w="75" w:type="dxa"/>
            </w:tcMar>
            <w:vAlign w:val="center"/>
          </w:tcPr>
          <w:p w14:paraId="35C2D7B9" w14:textId="77777777" w:rsidR="00425F11" w:rsidRDefault="00B64482">
            <w:pPr>
              <w:spacing w:line="240" w:lineRule="auto"/>
              <w:jc w:val="center"/>
            </w:pPr>
            <w:r>
              <w:t>1.</w:t>
            </w:r>
          </w:p>
        </w:tc>
        <w:tc>
          <w:tcPr>
            <w:tcW w:w="4055" w:type="dxa"/>
            <w:shd w:val="clear" w:color="auto" w:fill="FFFFFF"/>
            <w:noWrap/>
            <w:tcMar>
              <w:top w:w="75" w:type="dxa"/>
              <w:left w:w="75" w:type="dxa"/>
              <w:bottom w:w="75" w:type="dxa"/>
              <w:right w:w="75" w:type="dxa"/>
            </w:tcMar>
            <w:vAlign w:val="center"/>
          </w:tcPr>
          <w:p w14:paraId="0EDAAE0D" w14:textId="77777777" w:rsidR="00425F11" w:rsidRDefault="00B64482">
            <w:pPr>
              <w:spacing w:line="240" w:lineRule="auto"/>
              <w:jc w:val="left"/>
            </w:pPr>
            <w:r>
              <w:t>AS "Sadales tīkls"</w:t>
            </w:r>
          </w:p>
        </w:tc>
        <w:tc>
          <w:tcPr>
            <w:tcW w:w="4056" w:type="dxa"/>
            <w:shd w:val="clear" w:color="auto" w:fill="FFFFFF"/>
            <w:noWrap/>
            <w:tcMar>
              <w:top w:w="75" w:type="dxa"/>
              <w:left w:w="75" w:type="dxa"/>
              <w:bottom w:w="75" w:type="dxa"/>
              <w:right w:w="75" w:type="dxa"/>
            </w:tcMar>
            <w:vAlign w:val="center"/>
          </w:tcPr>
          <w:p w14:paraId="7653D407" w14:textId="77777777" w:rsidR="00425F11" w:rsidRDefault="00B64482" w:rsidP="008F60C5">
            <w:pPr>
              <w:spacing w:line="240" w:lineRule="auto"/>
            </w:pPr>
            <w:r>
              <w:t>Priekšlikums.</w:t>
            </w:r>
            <w:r>
              <w:br/>
              <w:t xml:space="preserve">Noteikumu grozījumu projekta izstrāde ir pamatota ar mērķi mazināt administratīvo slogu sabiedrībai, atbilstoši Tieslietu  ministrijas izstrādātajam Informatīvajam ziņojumam ''Par risinājumiem vienotā būves reģistrācijas procesa ieviešanai'' (23 TA 1954, akceptēts Ministru kabinetā 2024. gada 9. aprīļa sēdē, protokols Nr. 15, 57. §). Informatīvais ziņojums ieskicē nekustamā īpašuma attīstīšanā pastāvošās problēmas, kas veido būtisku administratīvo slogu </w:t>
            </w:r>
            <w:r>
              <w:lastRenderedPageBreak/>
              <w:t xml:space="preserve">būvniecības procesā iesaistītajām pusēm un kavē ieguldījumus, proti, datu integrācija starp valstī izveidotām vairākām informācijas sistēmām norit ierobežotā apjomā, kā rezultātā dati par būvēm tiek iegūti un reģistrēti valsts informācijas sistēmās neatkarīgos un paralēlos procesos, dublējoties, radot nevajadzīgu administratīvo slogu sabiedrībai.  Ar grozījumiem tiks sperti soļi, lai virzītos uz vienota būvniecības un nekustamā īpašuma reģistrācijas procesa ieviešanu. Plānotās izmaiņas ir atbalstāmas, bet vēlamies </w:t>
            </w:r>
            <w:r>
              <w:rPr>
                <w:b/>
              </w:rPr>
              <w:t>norādīt uz vēl papildus izvērtējamiem precizējumiem Ministru kabineta 2012. gada 24. aprīļa noteikumos Nr. 281 "Augstas detalizācijas topogrāfiskās informācijas un tās centrālās datubāzes noteikumi" (turpmāk – Noteikumi), kas varētu sekmēt būvniecības procesa administratīvā sloga mazināšanu un būvniecības procesa paātrināšanu.</w:t>
            </w:r>
            <w:r>
              <w:t xml:space="preserve"> Aicinām izvērtēt </w:t>
            </w:r>
            <w:r>
              <w:lastRenderedPageBreak/>
              <w:t xml:space="preserve">Noteikumu 68.-70.punktā paredzēto obligāto pienākumu veikt izstrādātā topogrāfiskā plāna saskaņošanu ar inženierkomunikāciju turētājiem. AS "Sadales tīkls" ieskatā daudzos gadījumos tā ir lieka darbība, kas nepamatoti paildzina topogrāfiskā plāna izstrādes procesu un būvniecības procesu kopumā, kā arī rada neskaidrības attiecībā uz atbildību par sagatavotā topogrāfiskā plāna kvalitāti. AS "Sadales tīkls" ierosina atteikties no obligāta nosacījuma par topogrāfiskā plāna saskaņošanu ar inženiertīkla turētājiem un šādu darbību veikt tikai tajā gadījumā, ja inženiertīkla turētājs pats ir norādījis uz nepieciešamību veikt saskaņošanu. Lūdzam šo priekšlikumu vērtēt kontekstā ar Noteikumu 42., 46., 47. punktos noteikto, kas jau paredz plašas iespējas inženiertīkla turētāja iesaistei topogrāfiskā plāna izstrādes procesā. Topogrāfisko plānu izstrādā mērnieks, kas ir </w:t>
            </w:r>
            <w:r>
              <w:lastRenderedPageBreak/>
              <w:t xml:space="preserve">ģeodēzisko darbu veikšanai sertificēta persona (2.4.punkts). Topogrāfisko plānu mērnieks izstrādā, veicot uzmērīšanu apvidū vai izmantojot iepriekš iegūtu topogrāfisko informāciju par attiecīgo teritoriju (informāciju, ko jau iepriekš ir sagatavojis kāds mērnieks), bet tādā gadījumā mērniekam veicot tās pārbaudi, izdarot kontrolmērījumus apvidū (21.punkts). Noteikumos ietvertā kārtība paredz mērniekam tiesības nepieciešamības gadījumā iesaistīt inženiertīklu turētāju jau ļoti agrīnā topogrāfiskā plāna izstrādes stadijā, ja topogrāfiskā plāna izstrādei nepieciešamā informācija nav iegūstama citā veidā: mērniekam ir paredzētas plašas iespējas izmantot inženiertīklu turētāju rīcībā esošos datus (42.punkts), paredzētas iespējas iesaistīt inženiertīklu turētāju inženiertīkla uzmērīšanā apvidū (47.punkts). Ja inženiertīklu īpašnieks topogrāfiskā plāna izstrādes procesā jau ir sniedzis </w:t>
            </w:r>
            <w:r>
              <w:lastRenderedPageBreak/>
              <w:t xml:space="preserve">visu labāko tam pieejamo informāciju, tad pēc būtības vairs nav pamatotas vajadzības atkāroti iesaistīt inženiertīkla turētāju plāna saskaņošanā, ja vien pats inženiertīklu turētājs to nav īpaši norādījis. Saskaņošana lielākoties ir lieka darbība, ko izmantojot salīdzinājumus var raksturot sekojoši - pacientam jāsaskaņo sava sertificēta ārsta sagatavotais slēdziens un tā atbilstība. Ir jāņem vērā, ka topogrāfisko plānu saskaņošana prasa papildu laiku un resursus visām iesaistītajām pusēm un kavē būvniecības procesu. Noteikumu 7.punktā ir noteikts, ka mērnieks un citas šajos noteikumos minētās personas atbild par savas darbības atbilstību šo noteikumu prasībām, tāpēc plāna izstrādes procesā būtu jānodrošina iespējami efektīva, operatīva un precīza iesaistīto pušu informācijas apmaiņa, bet mērnieka izstrādātā plāna "pārbaudīšana", sniedzot skaņojumu, vairumā gadījumu vairs nebūtu vajadzīga. Ja rastos </w:t>
            </w:r>
            <w:r>
              <w:lastRenderedPageBreak/>
              <w:t>problēmas sagatavotā topogrāfiskā plāna izmantošanas laikā, tad visticamāk būtu izsekojams, kurā plāna sagatavošanas procesa solī ir ieviesusies neprecizitāte un kurai pusei jāuzņemas atbildība (atbilstoši Noteikumu 7.punktam). Turklāt jāņem vērā, ka ekspluatācijā joprojām ir liels daudzums vēsturiski (pirms vairākiem desmitiem gadu) izbūvētu pazemes inženiertīklu, par kuru precīzu novietojumu informācijas trūkst arī pašreizējam attiecīgo inženiertīklu turētājam.  Visticamāk jau tuvākajā laikā tiks pieņemti Grozījumi Būvniecības likumā (</w:t>
            </w:r>
            <w:proofErr w:type="spellStart"/>
            <w:r>
              <w:t>Nr</w:t>
            </w:r>
            <w:proofErr w:type="spellEnd"/>
            <w:r>
              <w:t xml:space="preserve">: 901/Lp14), kas precizēs atbildības sadalījumu attiecībā uz inženiertīklu novietojuma precizēšanu un ir vērsts uz to, lai iegūtu iespējami aktuālāko informāciju par inženiertīklu novietojumu būvniecības procesa sākumposmā īstenojot inženiertīklu uzmērīšanu apvidū. Pienākums inženiertīklu turētājiem </w:t>
            </w:r>
            <w:r>
              <w:lastRenderedPageBreak/>
              <w:t xml:space="preserve">saskaņot mērnieku sagatavotos topogrāfiskos plānus nav risinājums, kas uzlabo topogrāfisko plānu kvalitāti. Kvalitātes uzlabošanai, visās </w:t>
            </w:r>
            <w:proofErr w:type="spellStart"/>
            <w:r>
              <w:t>izpildmērījumu</w:t>
            </w:r>
            <w:proofErr w:type="spellEnd"/>
            <w:r>
              <w:t xml:space="preserve"> datubāzēs vajadzētu būt pieejamai informācija par </w:t>
            </w:r>
            <w:proofErr w:type="spellStart"/>
            <w:r>
              <w:t>izpildmērījumu</w:t>
            </w:r>
            <w:proofErr w:type="spellEnd"/>
            <w:r>
              <w:t xml:space="preserve"> sagatavotāju.</w:t>
            </w:r>
            <w:r>
              <w:br/>
            </w:r>
            <w:r>
              <w:rPr>
                <w:b/>
              </w:rPr>
              <w:t>Aicinām izvērtēt iespēju Noteikumos (68., 69.punkts) atteikties no obligāta pienākuma inženiertīklu turētājiem veikt mērnieka izstrādāto topogrāfisko plānu saskaņošanu, ja vien inženiertīklu turētājs pats nav izvirzījis šādu prasību. Šāds grozījums mazinās administratīvo slogu būvniecības procesa dalībniekiem un lieki nekavēs būvniecības procesu.</w:t>
            </w:r>
            <w:r>
              <w:br/>
            </w:r>
          </w:p>
        </w:tc>
        <w:tc>
          <w:tcPr>
            <w:tcW w:w="1650" w:type="dxa"/>
            <w:shd w:val="clear" w:color="auto" w:fill="FFFFFF"/>
            <w:noWrap/>
            <w:tcMar>
              <w:top w:w="75" w:type="dxa"/>
              <w:left w:w="75" w:type="dxa"/>
              <w:bottom w:w="75" w:type="dxa"/>
              <w:right w:w="75" w:type="dxa"/>
            </w:tcMar>
            <w:vAlign w:val="center"/>
          </w:tcPr>
          <w:p w14:paraId="08FA104D" w14:textId="51D6383A" w:rsidR="00425F11" w:rsidRDefault="00A84E67">
            <w:pPr>
              <w:spacing w:line="240" w:lineRule="auto"/>
              <w:jc w:val="left"/>
            </w:pPr>
            <w:r>
              <w:lastRenderedPageBreak/>
              <w:t>Nav ņemts vērā</w:t>
            </w:r>
          </w:p>
        </w:tc>
        <w:tc>
          <w:tcPr>
            <w:tcW w:w="4056" w:type="dxa"/>
            <w:shd w:val="clear" w:color="auto" w:fill="FFFFFF"/>
            <w:noWrap/>
            <w:tcMar>
              <w:top w:w="75" w:type="dxa"/>
              <w:left w:w="75" w:type="dxa"/>
              <w:bottom w:w="75" w:type="dxa"/>
              <w:right w:w="75" w:type="dxa"/>
            </w:tcMar>
            <w:vAlign w:val="center"/>
          </w:tcPr>
          <w:p w14:paraId="53A74639" w14:textId="04DEECF9" w:rsidR="00425F11" w:rsidRDefault="00A84E67" w:rsidP="008F60C5">
            <w:pPr>
              <w:spacing w:line="240" w:lineRule="auto"/>
            </w:pPr>
            <w:r>
              <w:t xml:space="preserve">Noteikumu projekts (turpmāk – projekts) izstrādāts ar mērķi nodrošināt vienotā būvniecības un nekustamā īpašuma reģistrācijas procesa no būvniecības ieceres ierosināšanas līdz būves ierakstīšanai zemesgrāmatā (turpmāk </w:t>
            </w:r>
            <w:r w:rsidR="00D90D6D">
              <w:t xml:space="preserve">– </w:t>
            </w:r>
            <w:r>
              <w:t xml:space="preserve">vienotais būves reģistrācijas process) ieviešanu un paredz tikai ar vienotā būves reģistrācijas procesu saistītos precizējumus (Ministru kabineta 2024. gada 20. janvāra rīkojuma Nr. 55 "Par Valdības rīcības plānu Deklarācijas par </w:t>
            </w:r>
            <w:proofErr w:type="spellStart"/>
            <w:r>
              <w:t>Evikas</w:t>
            </w:r>
            <w:proofErr w:type="spellEnd"/>
            <w:r>
              <w:t xml:space="preserve"> Siliņas vadītā Ministru kabineta iecerēto </w:t>
            </w:r>
            <w:r>
              <w:lastRenderedPageBreak/>
              <w:t xml:space="preserve">darbību īstenošanai" 35.10. punkts, Ekonomikas ministrijas informatīvais ziņojums "Būves vienota reģistrācija BIS, Kadastrā un Zemesgrāmatā" (24-TA-3041). Ievērojot minēto, </w:t>
            </w:r>
            <w:r w:rsidR="005C3B33">
              <w:t>priekšlikums</w:t>
            </w:r>
            <w:r>
              <w:t xml:space="preserve"> nav attiecināms uz projektu, jo neskar vienoto būves reģistrācijas procesu.</w:t>
            </w:r>
          </w:p>
          <w:p w14:paraId="7C5001E8" w14:textId="7735C4F3" w:rsidR="001B19B7" w:rsidRDefault="00A84E67" w:rsidP="008F60C5">
            <w:pPr>
              <w:spacing w:line="240" w:lineRule="auto"/>
            </w:pPr>
            <w:r>
              <w:t>Vienlaikus norādām, ka</w:t>
            </w:r>
            <w:r w:rsidR="00B64482">
              <w:t xml:space="preserve"> </w:t>
            </w:r>
            <w:r>
              <w:t xml:space="preserve">atbilstoši </w:t>
            </w:r>
            <w:r w:rsidRPr="00A84E67">
              <w:t>Ekonomikas ministrijas informatīva</w:t>
            </w:r>
            <w:r>
              <w:t xml:space="preserve">jam </w:t>
            </w:r>
            <w:r w:rsidRPr="00A84E67">
              <w:t>ziņojum</w:t>
            </w:r>
            <w:r>
              <w:t>am</w:t>
            </w:r>
            <w:r w:rsidRPr="00A84E67">
              <w:t xml:space="preserve"> "Par rīcības plānu administratīvā sloga mazināšanai nekustamo īpašumu attīstīšanas jomā" (24-TA-385</w:t>
            </w:r>
            <w:r>
              <w:t>)</w:t>
            </w:r>
            <w:r w:rsidRPr="00A84E67">
              <w:t xml:space="preserve"> </w:t>
            </w:r>
            <w:r w:rsidR="00B64482">
              <w:t xml:space="preserve">Tieslietu ministrija (Valsts zemes </w:t>
            </w:r>
            <w:r w:rsidR="00602EE2">
              <w:t>dienests</w:t>
            </w:r>
            <w:r w:rsidR="00B64482">
              <w:t xml:space="preserve">) </w:t>
            </w:r>
            <w:r>
              <w:t>strādā pie a</w:t>
            </w:r>
            <w:r w:rsidRPr="00A84E67">
              <w:t xml:space="preserve">ugstas detalizācijas topogrāfiskās informācijas </w:t>
            </w:r>
            <w:r>
              <w:t xml:space="preserve">iegūšanas, </w:t>
            </w:r>
            <w:r w:rsidRPr="00A84E67">
              <w:t>sagatavošanas un apstrādes metodik</w:t>
            </w:r>
            <w:r>
              <w:t>as</w:t>
            </w:r>
            <w:r w:rsidRPr="00A84E67">
              <w:t xml:space="preserve">, topogrāfiskā plāna sagatavošanas </w:t>
            </w:r>
            <w:r>
              <w:t>un</w:t>
            </w:r>
            <w:r w:rsidRPr="00A84E67">
              <w:t xml:space="preserve"> tā saskaņošanas</w:t>
            </w:r>
            <w:r>
              <w:t xml:space="preserve"> kārtības normatīvā regulējuma uzlabojumiem, </w:t>
            </w:r>
            <w:r w:rsidR="00602EE2">
              <w:t xml:space="preserve">nodrošinot valsts informācijas sistēmās pieejamo datu izmantošanu un </w:t>
            </w:r>
            <w:r w:rsidR="00180184" w:rsidRPr="00180184">
              <w:t>at</w:t>
            </w:r>
            <w:r w:rsidR="00180184">
              <w:t>sakoties</w:t>
            </w:r>
            <w:r w:rsidR="00180184" w:rsidRPr="00180184">
              <w:t xml:space="preserve"> no </w:t>
            </w:r>
            <w:r w:rsidR="00180184">
              <w:t xml:space="preserve">topogrāfisko plānu skaņošanas ar </w:t>
            </w:r>
            <w:r w:rsidR="00180184" w:rsidRPr="00180184">
              <w:t>inženiertīklu turētājiem</w:t>
            </w:r>
            <w:r w:rsidR="00180184">
              <w:t>.</w:t>
            </w:r>
            <w:r w:rsidR="001E2EF5">
              <w:t xml:space="preserve"> </w:t>
            </w:r>
            <w:r w:rsidR="001B19B7">
              <w:t xml:space="preserve">Minēto </w:t>
            </w:r>
            <w:r w:rsidR="00D90D6D">
              <w:lastRenderedPageBreak/>
              <w:t xml:space="preserve">Ministru kabineta </w:t>
            </w:r>
            <w:r w:rsidR="001B19B7">
              <w:t>noteikumu projektu plānots nodot sabiedrības līdzdalībai vēlākais šī gada novembra mēnesī.</w:t>
            </w:r>
          </w:p>
        </w:tc>
      </w:tr>
    </w:tbl>
    <w:p w14:paraId="7C0E5000" w14:textId="77777777" w:rsidR="00425F11" w:rsidRDefault="00425F11"/>
    <w:tbl>
      <w:tblPr>
        <w:tblStyle w:val="a"/>
        <w:tblW w:w="14567" w:type="dxa"/>
        <w:tblInd w:w="0" w:type="dxa"/>
        <w:tblLayout w:type="fixed"/>
        <w:tblLook w:val="0600" w:firstRow="0" w:lastRow="0" w:firstColumn="0" w:lastColumn="0" w:noHBand="1" w:noVBand="1"/>
      </w:tblPr>
      <w:tblGrid>
        <w:gridCol w:w="4855"/>
        <w:gridCol w:w="4856"/>
        <w:gridCol w:w="4856"/>
      </w:tblGrid>
      <w:tr w:rsidR="00425F11" w14:paraId="4D620478" w14:textId="77777777">
        <w:tc>
          <w:tcPr>
            <w:tcW w:w="4855" w:type="dxa"/>
            <w:shd w:val="clear" w:color="auto" w:fill="FFFFFF"/>
            <w:noWrap/>
            <w:tcMar>
              <w:top w:w="75" w:type="dxa"/>
              <w:left w:w="75" w:type="dxa"/>
              <w:bottom w:w="75" w:type="dxa"/>
              <w:right w:w="75" w:type="dxa"/>
            </w:tcMar>
            <w:vAlign w:val="center"/>
          </w:tcPr>
          <w:p w14:paraId="4C20179F" w14:textId="77777777" w:rsidR="00425F11" w:rsidRDefault="00B64482">
            <w:pPr>
              <w:spacing w:line="240" w:lineRule="auto"/>
              <w:jc w:val="left"/>
            </w:pPr>
            <w:r>
              <w:t>Datums**</w:t>
            </w:r>
          </w:p>
        </w:tc>
        <w:tc>
          <w:tcPr>
            <w:tcW w:w="4856" w:type="dxa"/>
            <w:shd w:val="clear" w:color="auto" w:fill="FFFFFF"/>
            <w:noWrap/>
            <w:tcMar>
              <w:top w:w="75" w:type="dxa"/>
              <w:left w:w="75" w:type="dxa"/>
              <w:bottom w:w="75" w:type="dxa"/>
              <w:right w:w="75" w:type="dxa"/>
            </w:tcMar>
            <w:vAlign w:val="center"/>
          </w:tcPr>
          <w:p w14:paraId="0636FFEA" w14:textId="77777777" w:rsidR="00425F11" w:rsidRDefault="00425F11">
            <w:pPr>
              <w:pBdr>
                <w:bottom w:val="single" w:sz="10" w:space="1" w:color="000000"/>
              </w:pBdr>
              <w:spacing w:line="240" w:lineRule="auto"/>
            </w:pPr>
          </w:p>
        </w:tc>
        <w:tc>
          <w:tcPr>
            <w:tcW w:w="4856" w:type="dxa"/>
            <w:shd w:val="clear" w:color="auto" w:fill="FFFFFF"/>
            <w:noWrap/>
            <w:tcMar>
              <w:top w:w="75" w:type="dxa"/>
              <w:left w:w="75" w:type="dxa"/>
              <w:bottom w:w="75" w:type="dxa"/>
              <w:right w:w="75" w:type="dxa"/>
            </w:tcMar>
            <w:vAlign w:val="center"/>
          </w:tcPr>
          <w:p w14:paraId="07045C9F" w14:textId="77777777" w:rsidR="00425F11" w:rsidRDefault="00425F11">
            <w:pPr>
              <w:spacing w:line="240" w:lineRule="auto"/>
            </w:pPr>
          </w:p>
        </w:tc>
      </w:tr>
      <w:tr w:rsidR="00425F11" w14:paraId="68CAED5E" w14:textId="77777777">
        <w:tc>
          <w:tcPr>
            <w:tcW w:w="4855" w:type="dxa"/>
            <w:shd w:val="clear" w:color="auto" w:fill="FFFFFF"/>
            <w:noWrap/>
            <w:tcMar>
              <w:top w:w="75" w:type="dxa"/>
              <w:left w:w="75" w:type="dxa"/>
              <w:bottom w:w="75" w:type="dxa"/>
              <w:right w:w="75" w:type="dxa"/>
            </w:tcMar>
            <w:vAlign w:val="center"/>
          </w:tcPr>
          <w:p w14:paraId="44525F16" w14:textId="77777777" w:rsidR="00425F11" w:rsidRDefault="00425F11">
            <w:pPr>
              <w:spacing w:line="240" w:lineRule="auto"/>
            </w:pPr>
          </w:p>
        </w:tc>
        <w:tc>
          <w:tcPr>
            <w:tcW w:w="4856" w:type="dxa"/>
            <w:shd w:val="clear" w:color="auto" w:fill="FFFFFF"/>
            <w:noWrap/>
            <w:tcMar>
              <w:top w:w="75" w:type="dxa"/>
              <w:left w:w="75" w:type="dxa"/>
              <w:bottom w:w="75" w:type="dxa"/>
              <w:right w:w="75" w:type="dxa"/>
            </w:tcMar>
            <w:vAlign w:val="center"/>
          </w:tcPr>
          <w:p w14:paraId="2716B39F" w14:textId="77777777" w:rsidR="00425F11" w:rsidRDefault="00B64482">
            <w:pPr>
              <w:spacing w:line="240" w:lineRule="auto"/>
              <w:jc w:val="center"/>
            </w:pPr>
            <w:r>
              <w:t>(</w:t>
            </w:r>
            <w:proofErr w:type="spellStart"/>
            <w:r>
              <w:t>dd.mm.gggg</w:t>
            </w:r>
            <w:proofErr w:type="spellEnd"/>
            <w:r>
              <w:t>)</w:t>
            </w:r>
          </w:p>
        </w:tc>
        <w:tc>
          <w:tcPr>
            <w:tcW w:w="4856" w:type="dxa"/>
            <w:shd w:val="clear" w:color="auto" w:fill="FFFFFF"/>
            <w:noWrap/>
            <w:tcMar>
              <w:top w:w="75" w:type="dxa"/>
              <w:left w:w="75" w:type="dxa"/>
              <w:bottom w:w="75" w:type="dxa"/>
              <w:right w:w="75" w:type="dxa"/>
            </w:tcMar>
            <w:vAlign w:val="center"/>
          </w:tcPr>
          <w:p w14:paraId="2CF5B26E" w14:textId="77777777" w:rsidR="00425F11" w:rsidRDefault="00425F11">
            <w:pPr>
              <w:spacing w:line="240" w:lineRule="auto"/>
            </w:pPr>
          </w:p>
        </w:tc>
      </w:tr>
      <w:tr w:rsidR="00425F11" w14:paraId="148BAB4B" w14:textId="77777777">
        <w:tc>
          <w:tcPr>
            <w:tcW w:w="4855" w:type="dxa"/>
            <w:shd w:val="clear" w:color="auto" w:fill="FFFFFF"/>
            <w:noWrap/>
            <w:tcMar>
              <w:top w:w="75" w:type="dxa"/>
              <w:left w:w="75" w:type="dxa"/>
              <w:bottom w:w="75" w:type="dxa"/>
              <w:right w:w="75" w:type="dxa"/>
            </w:tcMar>
            <w:vAlign w:val="center"/>
          </w:tcPr>
          <w:p w14:paraId="4C010CF5" w14:textId="77777777" w:rsidR="00425F11" w:rsidRDefault="00B64482">
            <w:pPr>
              <w:spacing w:line="240" w:lineRule="auto"/>
              <w:jc w:val="left"/>
            </w:pPr>
            <w:r>
              <w:t>Atbildīgā persona</w:t>
            </w:r>
          </w:p>
        </w:tc>
        <w:tc>
          <w:tcPr>
            <w:tcW w:w="4856" w:type="dxa"/>
            <w:shd w:val="clear" w:color="auto" w:fill="FFFFFF"/>
            <w:noWrap/>
            <w:tcMar>
              <w:top w:w="75" w:type="dxa"/>
              <w:left w:w="75" w:type="dxa"/>
              <w:bottom w:w="75" w:type="dxa"/>
              <w:right w:w="75" w:type="dxa"/>
            </w:tcMar>
            <w:vAlign w:val="center"/>
          </w:tcPr>
          <w:p w14:paraId="5F5AFCBA" w14:textId="77777777" w:rsidR="00425F11" w:rsidRDefault="00425F11">
            <w:pPr>
              <w:pBdr>
                <w:bottom w:val="single" w:sz="10" w:space="1" w:color="000000"/>
              </w:pBdr>
              <w:spacing w:line="240" w:lineRule="auto"/>
            </w:pPr>
          </w:p>
        </w:tc>
        <w:tc>
          <w:tcPr>
            <w:tcW w:w="4856" w:type="dxa"/>
            <w:shd w:val="clear" w:color="auto" w:fill="FFFFFF"/>
            <w:noWrap/>
            <w:tcMar>
              <w:top w:w="75" w:type="dxa"/>
              <w:left w:w="75" w:type="dxa"/>
              <w:bottom w:w="75" w:type="dxa"/>
              <w:right w:w="75" w:type="dxa"/>
            </w:tcMar>
            <w:vAlign w:val="center"/>
          </w:tcPr>
          <w:p w14:paraId="409E50B9" w14:textId="77777777" w:rsidR="00425F11" w:rsidRDefault="00425F11">
            <w:pPr>
              <w:spacing w:line="240" w:lineRule="auto"/>
            </w:pPr>
          </w:p>
        </w:tc>
      </w:tr>
      <w:tr w:rsidR="00425F11" w14:paraId="758ACA15" w14:textId="77777777">
        <w:tc>
          <w:tcPr>
            <w:tcW w:w="4855" w:type="dxa"/>
            <w:shd w:val="clear" w:color="auto" w:fill="FFFFFF"/>
            <w:noWrap/>
            <w:tcMar>
              <w:top w:w="75" w:type="dxa"/>
              <w:left w:w="75" w:type="dxa"/>
              <w:bottom w:w="75" w:type="dxa"/>
              <w:right w:w="75" w:type="dxa"/>
            </w:tcMar>
            <w:vAlign w:val="center"/>
          </w:tcPr>
          <w:p w14:paraId="4D3706CE" w14:textId="77777777" w:rsidR="00425F11" w:rsidRDefault="00425F11">
            <w:pPr>
              <w:spacing w:line="240" w:lineRule="auto"/>
            </w:pPr>
          </w:p>
        </w:tc>
        <w:tc>
          <w:tcPr>
            <w:tcW w:w="4856" w:type="dxa"/>
            <w:shd w:val="clear" w:color="auto" w:fill="FFFFFF"/>
            <w:noWrap/>
            <w:tcMar>
              <w:top w:w="75" w:type="dxa"/>
              <w:left w:w="75" w:type="dxa"/>
              <w:bottom w:w="75" w:type="dxa"/>
              <w:right w:w="75" w:type="dxa"/>
            </w:tcMar>
            <w:vAlign w:val="center"/>
          </w:tcPr>
          <w:p w14:paraId="530CED45" w14:textId="77777777" w:rsidR="00425F11" w:rsidRDefault="00B64482">
            <w:pPr>
              <w:spacing w:line="240" w:lineRule="auto"/>
              <w:jc w:val="center"/>
            </w:pPr>
            <w:r>
              <w:t>(vārds, uzvārds, paraksts**)</w:t>
            </w:r>
          </w:p>
        </w:tc>
        <w:tc>
          <w:tcPr>
            <w:tcW w:w="4856" w:type="dxa"/>
            <w:shd w:val="clear" w:color="auto" w:fill="FFFFFF"/>
            <w:noWrap/>
            <w:tcMar>
              <w:top w:w="75" w:type="dxa"/>
              <w:left w:w="75" w:type="dxa"/>
              <w:bottom w:w="75" w:type="dxa"/>
              <w:right w:w="75" w:type="dxa"/>
            </w:tcMar>
            <w:vAlign w:val="center"/>
          </w:tcPr>
          <w:p w14:paraId="31F74124" w14:textId="77777777" w:rsidR="00425F11" w:rsidRDefault="00425F11">
            <w:pPr>
              <w:spacing w:line="240" w:lineRule="auto"/>
            </w:pPr>
          </w:p>
        </w:tc>
      </w:tr>
    </w:tbl>
    <w:p w14:paraId="687776D2" w14:textId="77777777" w:rsidR="00425F11" w:rsidRDefault="00425F11"/>
    <w:p w14:paraId="4A164568" w14:textId="77777777" w:rsidR="00425F11" w:rsidRDefault="00B64482">
      <w:r>
        <w:t>Piezīmes.</w:t>
      </w:r>
    </w:p>
    <w:p w14:paraId="53718EEE" w14:textId="77777777" w:rsidR="00425F11" w:rsidRDefault="00B64482">
      <w:r>
        <w:t>* Iesniedzējs (fiziskai personai – vārds, uzvārds, juridiskai personai – nosaukums) var tikt publiskots, ja viņš tam ir piekritis. Ja attiecināms, iesniedzējs norāda interešu pārstāvja reģistrācijas numuru.</w:t>
      </w:r>
    </w:p>
    <w:p w14:paraId="46852CBB" w14:textId="77777777" w:rsidR="00425F11" w:rsidRDefault="00B64482">
      <w:r>
        <w:t>** Dokumenta rekvizītus "datums" un "paraksts" neaizpilda, ja elektroniskais dokuments ir sagatavots atbilstoši normatīvajiem aktiem par elektronisko dokumentu noformēšanu.</w:t>
      </w:r>
    </w:p>
    <w:sectPr w:rsidR="00425F11">
      <w:headerReference w:type="default" r:id="rId7"/>
      <w:footerReference w:type="default" r:id="rId8"/>
      <w:headerReference w:type="first" r:id="rId9"/>
      <w:footerReference w:type="first" r:id="rId10"/>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518F4" w14:textId="77777777" w:rsidR="00BF6151" w:rsidRDefault="00BF6151">
      <w:r>
        <w:separator/>
      </w:r>
    </w:p>
  </w:endnote>
  <w:endnote w:type="continuationSeparator" w:id="0">
    <w:p w14:paraId="770ACA00" w14:textId="77777777" w:rsidR="00BF6151" w:rsidRDefault="00BF6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71154" w14:textId="77777777" w:rsidR="00425F11" w:rsidRDefault="00B64482">
    <w:pPr>
      <w:jc w:val="right"/>
    </w:pPr>
    <w:r>
      <w:rPr>
        <w:sz w:val="24"/>
        <w:szCs w:val="24"/>
      </w:rPr>
      <w:fldChar w:fldCharType="begin"/>
    </w:r>
    <w:r>
      <w:rPr>
        <w:sz w:val="24"/>
        <w:szCs w:val="24"/>
      </w:rPr>
      <w:instrText>PAGE</w:instrText>
    </w:r>
    <w:r>
      <w:rPr>
        <w:sz w:val="24"/>
        <w:szCs w:val="24"/>
      </w:rPr>
      <w:fldChar w:fldCharType="separate"/>
    </w:r>
    <w:r w:rsidR="00A84E67">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5CECD" w14:textId="77777777" w:rsidR="00974A97" w:rsidRDefault="00B64482">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8B197" w14:textId="77777777" w:rsidR="00BF6151" w:rsidRDefault="00BF6151">
      <w:r>
        <w:separator/>
      </w:r>
    </w:p>
  </w:footnote>
  <w:footnote w:type="continuationSeparator" w:id="0">
    <w:p w14:paraId="07356F29" w14:textId="77777777" w:rsidR="00BF6151" w:rsidRDefault="00BF61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42162" w14:textId="77777777" w:rsidR="00425F11" w:rsidRDefault="00B64482">
    <w:pPr>
      <w:pStyle w:val="Galvene"/>
      <w:contextualSpacing w:val="0"/>
    </w:pPr>
    <w:r>
      <w:t>Viedokļu pārskats 25-TA-1264</w:t>
    </w:r>
    <w:r>
      <w:br/>
      <w:t>Izdrukāts 02.10.2025. 08.45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ACB62" w14:textId="77777777" w:rsidR="00425F11" w:rsidRDefault="00B64482">
    <w:pPr>
      <w:pStyle w:val="Galvene"/>
      <w:contextualSpacing w:val="0"/>
    </w:pPr>
    <w:r>
      <w:t>Viedokļu pārskats 25-TA-1264</w:t>
    </w:r>
    <w:r>
      <w:br/>
      <w:t>Izdrukāts 02.10.2025. 08.45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displayBackgroundShape/>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F11"/>
    <w:rsid w:val="000378DD"/>
    <w:rsid w:val="00180184"/>
    <w:rsid w:val="001B19B7"/>
    <w:rsid w:val="001E2EF5"/>
    <w:rsid w:val="003166D4"/>
    <w:rsid w:val="00425F11"/>
    <w:rsid w:val="004F5922"/>
    <w:rsid w:val="0056268C"/>
    <w:rsid w:val="00597C5B"/>
    <w:rsid w:val="005B434F"/>
    <w:rsid w:val="005C3B33"/>
    <w:rsid w:val="00602EE2"/>
    <w:rsid w:val="008F60C5"/>
    <w:rsid w:val="00974A97"/>
    <w:rsid w:val="00A771BA"/>
    <w:rsid w:val="00A84E67"/>
    <w:rsid w:val="00B64482"/>
    <w:rsid w:val="00BF6151"/>
    <w:rsid w:val="00C000D7"/>
    <w:rsid w:val="00D90D6D"/>
    <w:rsid w:val="00F01410"/>
    <w:rsid w:val="00F178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65FB0"/>
  <w15:docId w15:val="{581B87B6-6780-4C5A-BF74-297D511F8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spacing w:after="120"/>
      <w:contextualSpacing/>
      <w:outlineLvl w:val="0"/>
    </w:pPr>
    <w:rPr>
      <w:rFonts w:ascii="Palatino" w:eastAsia="Palatino" w:hAnsi="Palatino" w:cs="Palatino"/>
      <w:sz w:val="36"/>
    </w:rPr>
  </w:style>
  <w:style w:type="paragraph" w:styleId="Virsraksts2">
    <w:name w:val="heading 2"/>
    <w:basedOn w:val="Parasts"/>
    <w:next w:val="Parasts"/>
    <w:uiPriority w:val="9"/>
    <w:semiHidden/>
    <w:unhideWhenUsed/>
    <w:qFormat/>
    <w:pPr>
      <w:spacing w:before="120" w:after="160"/>
      <w:contextualSpacing/>
      <w:outlineLvl w:val="1"/>
    </w:pPr>
    <w:rPr>
      <w:rFonts w:ascii="Arial" w:eastAsia="Arial" w:hAnsi="Arial" w:cs="Arial"/>
      <w:b/>
      <w:sz w:val="26"/>
    </w:rPr>
  </w:style>
  <w:style w:type="paragraph" w:styleId="Virsraksts3">
    <w:name w:val="heading 3"/>
    <w:basedOn w:val="Parasts"/>
    <w:next w:val="Parasts"/>
    <w:uiPriority w:val="9"/>
    <w:semiHidden/>
    <w:unhideWhenUsed/>
    <w:qFormat/>
    <w:pPr>
      <w:spacing w:before="120" w:after="160"/>
      <w:contextualSpacing/>
      <w:outlineLvl w:val="2"/>
    </w:pPr>
    <w:rPr>
      <w:rFonts w:ascii="Arial" w:eastAsia="Arial" w:hAnsi="Arial" w:cs="Arial"/>
      <w:b/>
      <w:i/>
      <w:color w:val="666666"/>
      <w:sz w:val="24"/>
    </w:rPr>
  </w:style>
  <w:style w:type="paragraph" w:styleId="Virsraksts4">
    <w:name w:val="heading 4"/>
    <w:basedOn w:val="Parasts"/>
    <w:next w:val="Parasts"/>
    <w:uiPriority w:val="9"/>
    <w:semiHidden/>
    <w:unhideWhenUsed/>
    <w:qFormat/>
    <w:pPr>
      <w:spacing w:before="120" w:after="120"/>
      <w:contextualSpacing/>
      <w:outlineLvl w:val="3"/>
    </w:pPr>
    <w:rPr>
      <w:rFonts w:ascii="Palatino" w:eastAsia="Palatino" w:hAnsi="Palatino" w:cs="Palatino"/>
      <w:b/>
      <w:sz w:val="24"/>
    </w:rPr>
  </w:style>
  <w:style w:type="paragraph" w:styleId="Virsraksts5">
    <w:name w:val="heading 5"/>
    <w:basedOn w:val="Parasts"/>
    <w:next w:val="Parasts"/>
    <w:uiPriority w:val="9"/>
    <w:semiHidden/>
    <w:unhideWhenUsed/>
    <w:qFormat/>
    <w:pPr>
      <w:spacing w:before="120" w:after="120"/>
      <w:contextualSpacing/>
      <w:outlineLvl w:val="4"/>
    </w:pPr>
    <w:rPr>
      <w:rFonts w:ascii="Arial" w:eastAsia="Arial" w:hAnsi="Arial" w:cs="Arial"/>
      <w:b/>
      <w:sz w:val="22"/>
    </w:rPr>
  </w:style>
  <w:style w:type="paragraph" w:styleId="Virsraksts6">
    <w:name w:val="heading 6"/>
    <w:basedOn w:val="Parasts"/>
    <w:next w:val="Parasts"/>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pPr>
      <w:spacing w:line="644" w:lineRule="auto"/>
    </w:pPr>
    <w:tblPr>
      <w:tblCellMar>
        <w:top w:w="0" w:type="dxa"/>
        <w:left w:w="0" w:type="dxa"/>
        <w:bottom w:w="0" w:type="dxa"/>
        <w:right w:w="0" w:type="dxa"/>
      </w:tblCellMar>
    </w:tblPr>
  </w:style>
  <w:style w:type="paragraph" w:styleId="Nosaukums">
    <w:name w:val="Title"/>
    <w:basedOn w:val="Parasts"/>
    <w:next w:val="Parasts"/>
    <w:uiPriority w:val="10"/>
    <w:qFormat/>
    <w:pPr>
      <w:contextualSpacing/>
    </w:pPr>
    <w:rPr>
      <w:rFonts w:ascii="Palatino" w:eastAsia="Palatino" w:hAnsi="Palatino" w:cs="Palatino"/>
      <w:sz w:val="60"/>
    </w:rPr>
  </w:style>
  <w:style w:type="paragraph" w:styleId="Apakvirsraksts">
    <w:name w:val="Subtitle"/>
    <w:basedOn w:val="Parasts"/>
    <w:next w:val="Parasts"/>
    <w:uiPriority w:val="11"/>
    <w:qFormat/>
    <w:pPr>
      <w:spacing w:before="60"/>
      <w:contextualSpacing/>
    </w:pPr>
    <w:rPr>
      <w:rFonts w:ascii="Arial" w:eastAsia="Arial" w:hAnsi="Arial" w:cs="Arial"/>
    </w:rPr>
  </w:style>
  <w:style w:type="paragraph" w:customStyle="1" w:styleId="paragraph">
    <w:name w:val="paragraph"/>
    <w:basedOn w:val="Parasts"/>
    <w:next w:val="Parasts"/>
    <w:pPr>
      <w:contextualSpacing/>
    </w:pPr>
  </w:style>
  <w:style w:type="paragraph" w:customStyle="1" w:styleId="paragraphheader">
    <w:name w:val="paragraph_header"/>
    <w:basedOn w:val="Parasts"/>
    <w:next w:val="Parasts"/>
    <w:pPr>
      <w:spacing w:before="280" w:after="280"/>
      <w:contextualSpacing/>
    </w:pPr>
  </w:style>
  <w:style w:type="paragraph" w:styleId="Galvene">
    <w:name w:val="header"/>
    <w:basedOn w:val="Parasts"/>
    <w:next w:val="Parasts"/>
    <w:pPr>
      <w:spacing w:after="280"/>
      <w:contextualSpacing/>
      <w:jc w:val="right"/>
    </w:pPr>
    <w:rPr>
      <w:sz w:val="24"/>
    </w:rPr>
  </w:style>
  <w:style w:type="paragraph" w:customStyle="1" w:styleId="signeddocumentparagraph">
    <w:name w:val="signed_document_paragraph"/>
    <w:basedOn w:val="Parasts"/>
    <w:next w:val="Parasts"/>
    <w:pPr>
      <w:contextualSpacing/>
      <w:jc w:val="right"/>
    </w:pPr>
    <w:rPr>
      <w:sz w:val="24"/>
    </w:rPr>
  </w:style>
  <w:style w:type="paragraph" w:customStyle="1" w:styleId="boldparagraphheader">
    <w:name w:val="bold_paragraph_header"/>
    <w:basedOn w:val="Parasts"/>
    <w:next w:val="Parasts"/>
    <w:pPr>
      <w:contextualSpacing/>
      <w:jc w:val="center"/>
    </w:pPr>
    <w:rPr>
      <w:b/>
    </w:rPr>
  </w:style>
  <w:style w:type="table" w:customStyle="1" w:styleId="a">
    <w:basedOn w:val="TableNormal"/>
    <w:tblPr>
      <w:tblStyleRowBandSize w:val="1"/>
      <w:tblStyleColBandSize w:val="1"/>
    </w:tblPr>
  </w:style>
  <w:style w:type="character" w:styleId="Komentraatsauce">
    <w:name w:val="annotation reference"/>
    <w:basedOn w:val="Noklusjumarindkopasfonts"/>
    <w:uiPriority w:val="99"/>
    <w:semiHidden/>
    <w:unhideWhenUsed/>
    <w:rsid w:val="00602EE2"/>
    <w:rPr>
      <w:sz w:val="16"/>
      <w:szCs w:val="16"/>
    </w:rPr>
  </w:style>
  <w:style w:type="paragraph" w:styleId="Komentrateksts">
    <w:name w:val="annotation text"/>
    <w:basedOn w:val="Parasts"/>
    <w:link w:val="KomentratekstsRakstz"/>
    <w:uiPriority w:val="99"/>
    <w:semiHidden/>
    <w:unhideWhenUsed/>
    <w:rsid w:val="00602EE2"/>
    <w:rPr>
      <w:sz w:val="20"/>
    </w:rPr>
  </w:style>
  <w:style w:type="character" w:customStyle="1" w:styleId="KomentratekstsRakstz">
    <w:name w:val="Komentāra teksts Rakstz."/>
    <w:basedOn w:val="Noklusjumarindkopasfonts"/>
    <w:link w:val="Komentrateksts"/>
    <w:uiPriority w:val="99"/>
    <w:semiHidden/>
    <w:rsid w:val="00602EE2"/>
    <w:rPr>
      <w:sz w:val="20"/>
    </w:rPr>
  </w:style>
  <w:style w:type="paragraph" w:styleId="Komentratma">
    <w:name w:val="annotation subject"/>
    <w:basedOn w:val="Komentrateksts"/>
    <w:next w:val="Komentrateksts"/>
    <w:link w:val="KomentratmaRakstz"/>
    <w:uiPriority w:val="99"/>
    <w:semiHidden/>
    <w:unhideWhenUsed/>
    <w:rsid w:val="00602EE2"/>
    <w:rPr>
      <w:b/>
      <w:bCs/>
    </w:rPr>
  </w:style>
  <w:style w:type="character" w:customStyle="1" w:styleId="KomentratmaRakstz">
    <w:name w:val="Komentāra tēma Rakstz."/>
    <w:basedOn w:val="KomentratekstsRakstz"/>
    <w:link w:val="Komentratma"/>
    <w:uiPriority w:val="99"/>
    <w:semiHidden/>
    <w:rsid w:val="00602EE2"/>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0450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91C1C-D440-4984-8D89-B39D73C97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5101</Words>
  <Characters>2908</Characters>
  <Application>Microsoft Office Word</Application>
  <DocSecurity>0</DocSecurity>
  <Lines>24</Lines>
  <Paragraphs>15</Paragraphs>
  <ScaleCrop>false</ScaleCrop>
  <HeadingPairs>
    <vt:vector size="2" baseType="variant">
      <vt:variant>
        <vt:lpstr>Nosaukums</vt:lpstr>
      </vt:variant>
      <vt:variant>
        <vt:i4>1</vt:i4>
      </vt:variant>
    </vt:vector>
  </HeadingPairs>
  <TitlesOfParts>
    <vt:vector size="1" baseType="lpstr">
      <vt:lpstr>viedoklu_parskats_25-TA-1264.docx</vt:lpstr>
    </vt:vector>
  </TitlesOfParts>
  <Company>VZD</Company>
  <LinksUpToDate>false</LinksUpToDate>
  <CharactersWithSpaces>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viedoklu_parskats_25-TA-1264.docx</dc:title>
  <dc:creator>Arta Rolava</dc:creator>
  <cp:lastModifiedBy>Arta Rolava</cp:lastModifiedBy>
  <cp:revision>5</cp:revision>
  <dcterms:created xsi:type="dcterms:W3CDTF">2025-10-02T14:17:00Z</dcterms:created>
  <dcterms:modified xsi:type="dcterms:W3CDTF">2025-10-06T05:35:00Z</dcterms:modified>
</cp:coreProperties>
</file>