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D65F4A" w:rsidRDefault="001806C0">
      <w:pPr>
        <w:spacing w:after="240"/>
        <w:jc w:val="center"/>
        <w:rPr>
          <w:b/>
        </w:rPr>
      </w:pPr>
      <w:r>
        <w:rPr>
          <w:b/>
        </w:rPr>
        <w:t>“Publiskās apspriešanas laikā 18.03.2026. - 01.04.2026. saņemto viedokļu, priekšlikumu un iebildumu apkopojums par Cilvēku tirdzniecības upuru atpazīšanas un atbalsta likums”</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D65F4A">
        <w:tc>
          <w:tcPr>
            <w:tcW w:w="750" w:type="dxa"/>
            <w:shd w:val="clear" w:color="auto" w:fill="FFFFFF"/>
            <w:noWrap/>
            <w:tcMar>
              <w:top w:w="75" w:type="dxa"/>
              <w:left w:w="75" w:type="dxa"/>
              <w:bottom w:w="75" w:type="dxa"/>
              <w:right w:w="75" w:type="dxa"/>
            </w:tcMar>
            <w:vAlign w:val="center"/>
          </w:tcPr>
          <w:p w:rsidR="00D65F4A" w:rsidRDefault="001806C0">
            <w:pPr>
              <w:jc w:val="center"/>
            </w:pPr>
            <w:proofErr w:type="spellStart"/>
            <w:r>
              <w:rPr>
                <w:b/>
              </w:rPr>
              <w:t>Nr.p.k</w:t>
            </w:r>
            <w:proofErr w:type="spellEnd"/>
            <w:r>
              <w:rPr>
                <w:b/>
              </w:rPr>
              <w:t>.</w:t>
            </w:r>
          </w:p>
        </w:tc>
        <w:tc>
          <w:tcPr>
            <w:tcW w:w="4055" w:type="dxa"/>
            <w:shd w:val="clear" w:color="auto" w:fill="FFFFFF"/>
            <w:noWrap/>
            <w:tcMar>
              <w:top w:w="75" w:type="dxa"/>
              <w:left w:w="75" w:type="dxa"/>
              <w:bottom w:w="75" w:type="dxa"/>
              <w:right w:w="75" w:type="dxa"/>
            </w:tcMar>
            <w:vAlign w:val="center"/>
          </w:tcPr>
          <w:p w:rsidR="00D65F4A" w:rsidRDefault="001806C0">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rsidR="00D65F4A" w:rsidRDefault="001806C0">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rsidR="00D65F4A" w:rsidRDefault="001806C0">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rsidR="00D65F4A" w:rsidRDefault="001806C0">
            <w:pPr>
              <w:jc w:val="center"/>
            </w:pPr>
            <w:r>
              <w:rPr>
                <w:b/>
              </w:rPr>
              <w:t>Skaidrojums, kādā veidā viedoklis / priekšlikums / iebildums ir ņemts vērā vai ņemts vērā daļēji, vai pamatojums, ja viedoklis / priekšlikums / iebildums n</w:t>
            </w:r>
            <w:r>
              <w:rPr>
                <w:b/>
              </w:rPr>
              <w:t>av ņemts vērā</w:t>
            </w:r>
          </w:p>
        </w:tc>
      </w:tr>
      <w:tr w:rsidR="00A93E33">
        <w:tc>
          <w:tcPr>
            <w:tcW w:w="750" w:type="dxa"/>
            <w:shd w:val="clear" w:color="auto" w:fill="FFFFFF"/>
            <w:noWrap/>
            <w:tcMar>
              <w:top w:w="75" w:type="dxa"/>
              <w:left w:w="75" w:type="dxa"/>
              <w:bottom w:w="75" w:type="dxa"/>
              <w:right w:w="75" w:type="dxa"/>
            </w:tcMar>
            <w:vAlign w:val="center"/>
          </w:tcPr>
          <w:p w:rsidR="00A93E33" w:rsidRDefault="00A93E33" w:rsidP="00A93E33">
            <w:pPr>
              <w:jc w:val="center"/>
            </w:pPr>
            <w:r>
              <w:t>1.</w:t>
            </w:r>
          </w:p>
        </w:tc>
        <w:tc>
          <w:tcPr>
            <w:tcW w:w="4055" w:type="dxa"/>
            <w:shd w:val="clear" w:color="auto" w:fill="FFFFFF"/>
            <w:noWrap/>
            <w:tcMar>
              <w:top w:w="75" w:type="dxa"/>
              <w:left w:w="75" w:type="dxa"/>
              <w:bottom w:w="75" w:type="dxa"/>
              <w:right w:w="75" w:type="dxa"/>
            </w:tcMar>
            <w:vAlign w:val="center"/>
          </w:tcPr>
          <w:p w:rsidR="00A93E33" w:rsidRDefault="00A93E33" w:rsidP="00A93E33">
            <w:pPr>
              <w:jc w:val="left"/>
            </w:pPr>
            <w:r>
              <w:t>Biedrība "Centrs MARTA", Iluta Lāce</w:t>
            </w:r>
          </w:p>
        </w:tc>
        <w:tc>
          <w:tcPr>
            <w:tcW w:w="4056" w:type="dxa"/>
            <w:shd w:val="clear" w:color="auto" w:fill="FFFFFF"/>
            <w:noWrap/>
            <w:tcMar>
              <w:top w:w="75" w:type="dxa"/>
              <w:left w:w="75" w:type="dxa"/>
              <w:bottom w:w="75" w:type="dxa"/>
              <w:right w:w="75" w:type="dxa"/>
            </w:tcMar>
            <w:vAlign w:val="center"/>
          </w:tcPr>
          <w:p w:rsidR="00A93E33" w:rsidRDefault="00A93E33" w:rsidP="00A93E33">
            <w:pPr>
              <w:jc w:val="left"/>
            </w:pPr>
            <w:r>
              <w:t xml:space="preserve">Centrs MARTA kopumā atzinīgi vērtē Iekšlietu ministrijas izstrādāto likumprojektu un atbalsta nacionālā novirzīšanas mehānisma ieviešanu cilvēku tirdzniecības gadījumos. Jau ilgstoši esam iestājušies par skaidri definētu, institucionāli koordinētu pieeju, kas nodrošinātu agrīnu cietušo atpazīšanu, savlaicīgu informēšanu par pieejamajiem atbalsta un sociālās rehabilitācijas pakalpojumiem, kā arī efektīvu novirzīšanu uz tiem. Praksē redzam, ka ievērojama daļa cilvēku tirdzniecības upuru līdz rehabilitācijas pakalpojumiem </w:t>
            </w:r>
            <w:r>
              <w:lastRenderedPageBreak/>
              <w:t>nonāk patstāvīgi, nevis caur pirmās saskarsmes institūciju starpniecību, kas liecina par nepieciešamību stiprināt institucionālo kapacitāti un izpratni. Līdz ar to īpaši būtiski ir nodrošināt regulāras, kvalitatīvas apmācības visām iesaistītajām institūcijām par cilvēku tirdzniecības pazīmju atpazīšanu, kā arī izstrādāt vienotas, praksē lietojamas sadarbības shēmas.</w:t>
            </w:r>
            <w:r>
              <w:br/>
            </w:r>
            <w:r>
              <w:br/>
              <w:t xml:space="preserve">Vienlaikus Centrs MARTA kategoriski iebilst pret likumprojekta 6. panta trešās daļas 2. punktā paredzēto pienākumu sociālās rehabilitācijas pakalpojumu sniedzējiem obligāti, trīs darba dienu laikā, nodot informāciju par iespējamo cilvēku tirdzniecības upuri Valsts policijai. Darbs ar cietušajiem balstās uzticībā, un starptautiskā prakse, tostarp Eiropas Padomes Konvencija par cīņu pret cilvēku tirdzniecību un ES Direktīva 2011/36/ES, uzsver upura tiesības </w:t>
            </w:r>
            <w:r>
              <w:lastRenderedPageBreak/>
              <w:t>uz autonomiju un informētu piekrišanu, kā arī nepieciešamību nodrošināt “atveseļošanās un pārdomu periodu”, kura laikā persona var pieņemt lēmumu par sadarbību ar tiesībaizsardzības iestādēm. Obligāta ziņu nodošana bez cietušā piekrišanas var būtiski mazināt uzticību pakalpojumu sniedzējiem, atturēt cietušos no palīdzības meklēšanas un potenciāli pakļaut viņus papildu riskam. Tādēļ aicinām šo normu pārskatīt, paredzot, ka informācijas nodošana tiesībaizsardzības iestādēm notiek ar cietušā informētu piekrišanu, vienlaikus saglabājot iespēju nodrošināt efektīvu sadarbību starp institūcijām un veicināt kriminālprocesu uzsākšanu gadījumos, kad cietušais tam ir gatavs.</w:t>
            </w:r>
          </w:p>
        </w:tc>
        <w:tc>
          <w:tcPr>
            <w:tcW w:w="1650" w:type="dxa"/>
            <w:shd w:val="clear" w:color="auto" w:fill="FFFFFF"/>
            <w:noWrap/>
            <w:tcMar>
              <w:top w:w="75" w:type="dxa"/>
              <w:left w:w="75" w:type="dxa"/>
              <w:bottom w:w="75" w:type="dxa"/>
              <w:right w:w="75" w:type="dxa"/>
            </w:tcMar>
            <w:vAlign w:val="center"/>
          </w:tcPr>
          <w:p w:rsidR="00A93E33" w:rsidRDefault="00A93E33" w:rsidP="00A93E33">
            <w:pPr>
              <w:jc w:val="left"/>
            </w:pPr>
            <w:r>
              <w:lastRenderedPageBreak/>
              <w:t>Ņemts vērā</w:t>
            </w:r>
            <w:bookmarkStart w:id="0" w:name="_GoBack"/>
            <w:bookmarkEnd w:id="0"/>
          </w:p>
        </w:tc>
        <w:tc>
          <w:tcPr>
            <w:tcW w:w="4056" w:type="dxa"/>
            <w:shd w:val="clear" w:color="auto" w:fill="FFFFFF"/>
            <w:noWrap/>
            <w:tcMar>
              <w:top w:w="75" w:type="dxa"/>
              <w:left w:w="75" w:type="dxa"/>
              <w:bottom w:w="75" w:type="dxa"/>
              <w:right w:w="75" w:type="dxa"/>
            </w:tcMar>
            <w:vAlign w:val="center"/>
          </w:tcPr>
          <w:p w:rsidR="00A93E33" w:rsidRDefault="00A93E33" w:rsidP="00A93E33">
            <w:pPr>
              <w:jc w:val="left"/>
            </w:pPr>
            <w:r>
              <w:t>Organizētas divas tikšanās. Pirmā tikšanās notika ar Iekšlietu ministrijas, biedrības “Centrs MARTA” un biedrības “Patvērums “Drošā māja”” pārstāvjiem. Otrā tikšanās tika organizēta starp Iekšlietu ministrijas pārstāvjiem un biedrības “Centrs MARTA” pārstāvjiem, tostarp sociālo darbinieku, kurš ikdienā strādā ar vardarbībā cietušām personām un cilvēku tirdzniecības upuriem.</w:t>
            </w:r>
          </w:p>
          <w:p w:rsidR="00A93E33" w:rsidRDefault="00A93E33" w:rsidP="00A93E33">
            <w:pPr>
              <w:jc w:val="left"/>
            </w:pPr>
            <w:r>
              <w:t xml:space="preserve">Tika vērtētas vairākas iespējas, lai rastu risinājumus biedrības “Centrs MARTA” paustajiem apsvērumiem, tai skaitā nosakot </w:t>
            </w:r>
            <w:r>
              <w:lastRenderedPageBreak/>
              <w:t xml:space="preserve">pienākumu ziņot tikai tad, kad persona piekrīt, kā arī iespējas ziņot anonīmi. </w:t>
            </w:r>
          </w:p>
          <w:p w:rsidR="00A93E33" w:rsidRDefault="00A93E33" w:rsidP="00A93E33">
            <w:pPr>
              <w:jc w:val="left"/>
            </w:pPr>
          </w:p>
          <w:p w:rsidR="00A93E33" w:rsidRDefault="00A93E33" w:rsidP="00A93E33">
            <w:pPr>
              <w:jc w:val="left"/>
            </w:pPr>
            <w:r>
              <w:t xml:space="preserve">Vienlaikus Iekšlietu ministrijas izstrādātajā projektā galvenais uzsvars tiek likts uz savlaicīgu informācijas nodošanu par iespējamu noziedzīgu nodarījumu, lai </w:t>
            </w:r>
            <w:proofErr w:type="spellStart"/>
            <w:r>
              <w:t>tiesībsargājošās</w:t>
            </w:r>
            <w:proofErr w:type="spellEnd"/>
            <w:r>
              <w:t xml:space="preserve"> iestādes varētu uzsākt nepieciešamās darbības arī bez cietušās personas aktīvas līdzdalības.</w:t>
            </w:r>
          </w:p>
          <w:p w:rsidR="00A93E33" w:rsidRDefault="00A93E33" w:rsidP="00A93E33">
            <w:pPr>
              <w:jc w:val="left"/>
            </w:pPr>
          </w:p>
          <w:p w:rsidR="00A93E33" w:rsidRDefault="00A93E33" w:rsidP="00A93E33">
            <w:pPr>
              <w:jc w:val="left"/>
            </w:pPr>
            <w:r>
              <w:t>Diskusiju rezultātā panākta vienošanās dzēst 6. panta trešo daļu, kas paredzēja konkrētu ziņošanas pienākumu sociālās rehabilitācijas pakalpojumu sniedzējiem. Līdz ar to ziņošanas pienākums tiek saglabāts vispārējā regulējumā, kas izriet no Kriminālprocesa likuma 369. panta piektās daļas.</w:t>
            </w:r>
          </w:p>
          <w:p w:rsidR="00A93E33" w:rsidRDefault="00A93E33" w:rsidP="00A93E33">
            <w:pPr>
              <w:jc w:val="left"/>
            </w:pPr>
          </w:p>
          <w:p w:rsidR="00A93E33" w:rsidRDefault="00A93E33" w:rsidP="00A93E33">
            <w:pPr>
              <w:jc w:val="left"/>
            </w:pPr>
            <w:r>
              <w:t xml:space="preserve">Tādējādi netiek noteikts konkrēts termiņš un ziņošanas kārtība sociālo pakalpojumu sniedzējiem, </w:t>
            </w:r>
            <w:r>
              <w:lastRenderedPageBreak/>
              <w:t>bet pienākums ziņot saglabājas.</w:t>
            </w:r>
          </w:p>
        </w:tc>
      </w:tr>
    </w:tbl>
    <w:p w:rsidR="00D65F4A" w:rsidRDefault="00D65F4A"/>
    <w:tbl>
      <w:tblPr>
        <w:tblStyle w:val="a"/>
        <w:tblW w:w="14567" w:type="dxa"/>
        <w:tblLayout w:type="fixed"/>
        <w:tblLook w:val="0600" w:firstRow="0" w:lastRow="0" w:firstColumn="0" w:lastColumn="0" w:noHBand="1" w:noVBand="1"/>
      </w:tblPr>
      <w:tblGrid>
        <w:gridCol w:w="4855"/>
        <w:gridCol w:w="4856"/>
        <w:gridCol w:w="4856"/>
      </w:tblGrid>
      <w:tr w:rsidR="00D65F4A">
        <w:tc>
          <w:tcPr>
            <w:tcW w:w="4855" w:type="dxa"/>
            <w:shd w:val="clear" w:color="auto" w:fill="FFFFFF"/>
            <w:noWrap/>
            <w:tcMar>
              <w:top w:w="75" w:type="dxa"/>
              <w:left w:w="75" w:type="dxa"/>
              <w:bottom w:w="75" w:type="dxa"/>
              <w:right w:w="75" w:type="dxa"/>
            </w:tcMar>
            <w:vAlign w:val="center"/>
          </w:tcPr>
          <w:p w:rsidR="00D65F4A" w:rsidRDefault="001806C0">
            <w:pPr>
              <w:jc w:val="left"/>
            </w:pPr>
            <w:r>
              <w:t>Datums**</w:t>
            </w:r>
          </w:p>
        </w:tc>
        <w:tc>
          <w:tcPr>
            <w:tcW w:w="4856" w:type="dxa"/>
            <w:shd w:val="clear" w:color="auto" w:fill="FFFFFF"/>
            <w:noWrap/>
            <w:tcMar>
              <w:top w:w="75" w:type="dxa"/>
              <w:left w:w="75" w:type="dxa"/>
              <w:bottom w:w="75" w:type="dxa"/>
              <w:right w:w="75" w:type="dxa"/>
            </w:tcMar>
            <w:vAlign w:val="center"/>
          </w:tcPr>
          <w:p w:rsidR="00D65F4A" w:rsidRDefault="00D65F4A">
            <w:pPr>
              <w:pBdr>
                <w:bottom w:val="single" w:sz="10" w:space="1" w:color="000000"/>
              </w:pBdr>
            </w:pPr>
          </w:p>
        </w:tc>
        <w:tc>
          <w:tcPr>
            <w:tcW w:w="4856" w:type="dxa"/>
            <w:shd w:val="clear" w:color="auto" w:fill="FFFFFF"/>
            <w:noWrap/>
            <w:tcMar>
              <w:top w:w="75" w:type="dxa"/>
              <w:left w:w="75" w:type="dxa"/>
              <w:bottom w:w="75" w:type="dxa"/>
              <w:right w:w="75" w:type="dxa"/>
            </w:tcMar>
            <w:vAlign w:val="center"/>
          </w:tcPr>
          <w:p w:rsidR="00D65F4A" w:rsidRDefault="00D65F4A"/>
        </w:tc>
      </w:tr>
      <w:tr w:rsidR="00D65F4A">
        <w:tc>
          <w:tcPr>
            <w:tcW w:w="4855" w:type="dxa"/>
            <w:shd w:val="clear" w:color="auto" w:fill="FFFFFF"/>
            <w:noWrap/>
            <w:tcMar>
              <w:top w:w="75" w:type="dxa"/>
              <w:left w:w="75" w:type="dxa"/>
              <w:bottom w:w="75" w:type="dxa"/>
              <w:right w:w="75" w:type="dxa"/>
            </w:tcMar>
            <w:vAlign w:val="center"/>
          </w:tcPr>
          <w:p w:rsidR="00D65F4A" w:rsidRDefault="00D65F4A"/>
        </w:tc>
        <w:tc>
          <w:tcPr>
            <w:tcW w:w="4856" w:type="dxa"/>
            <w:shd w:val="clear" w:color="auto" w:fill="FFFFFF"/>
            <w:noWrap/>
            <w:tcMar>
              <w:top w:w="75" w:type="dxa"/>
              <w:left w:w="75" w:type="dxa"/>
              <w:bottom w:w="75" w:type="dxa"/>
              <w:right w:w="75" w:type="dxa"/>
            </w:tcMar>
            <w:vAlign w:val="center"/>
          </w:tcPr>
          <w:p w:rsidR="00D65F4A" w:rsidRDefault="001806C0">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rsidR="00D65F4A" w:rsidRDefault="00D65F4A"/>
        </w:tc>
      </w:tr>
      <w:tr w:rsidR="00D65F4A">
        <w:tc>
          <w:tcPr>
            <w:tcW w:w="4855" w:type="dxa"/>
            <w:shd w:val="clear" w:color="auto" w:fill="FFFFFF"/>
            <w:noWrap/>
            <w:tcMar>
              <w:top w:w="75" w:type="dxa"/>
              <w:left w:w="75" w:type="dxa"/>
              <w:bottom w:w="75" w:type="dxa"/>
              <w:right w:w="75" w:type="dxa"/>
            </w:tcMar>
            <w:vAlign w:val="center"/>
          </w:tcPr>
          <w:p w:rsidR="00D65F4A" w:rsidRDefault="001806C0">
            <w:pPr>
              <w:jc w:val="left"/>
            </w:pPr>
            <w:r>
              <w:lastRenderedPageBreak/>
              <w:t>Atbildīgā persona</w:t>
            </w:r>
          </w:p>
        </w:tc>
        <w:tc>
          <w:tcPr>
            <w:tcW w:w="4856" w:type="dxa"/>
            <w:shd w:val="clear" w:color="auto" w:fill="FFFFFF"/>
            <w:noWrap/>
            <w:tcMar>
              <w:top w:w="75" w:type="dxa"/>
              <w:left w:w="75" w:type="dxa"/>
              <w:bottom w:w="75" w:type="dxa"/>
              <w:right w:w="75" w:type="dxa"/>
            </w:tcMar>
            <w:vAlign w:val="center"/>
          </w:tcPr>
          <w:p w:rsidR="00D65F4A" w:rsidRDefault="00D65F4A">
            <w:pPr>
              <w:pBdr>
                <w:bottom w:val="single" w:sz="10" w:space="1" w:color="000000"/>
              </w:pBdr>
            </w:pPr>
          </w:p>
        </w:tc>
        <w:tc>
          <w:tcPr>
            <w:tcW w:w="4856" w:type="dxa"/>
            <w:shd w:val="clear" w:color="auto" w:fill="FFFFFF"/>
            <w:noWrap/>
            <w:tcMar>
              <w:top w:w="75" w:type="dxa"/>
              <w:left w:w="75" w:type="dxa"/>
              <w:bottom w:w="75" w:type="dxa"/>
              <w:right w:w="75" w:type="dxa"/>
            </w:tcMar>
            <w:vAlign w:val="center"/>
          </w:tcPr>
          <w:p w:rsidR="00D65F4A" w:rsidRDefault="00D65F4A"/>
        </w:tc>
      </w:tr>
      <w:tr w:rsidR="00D65F4A">
        <w:tc>
          <w:tcPr>
            <w:tcW w:w="4855" w:type="dxa"/>
            <w:shd w:val="clear" w:color="auto" w:fill="FFFFFF"/>
            <w:noWrap/>
            <w:tcMar>
              <w:top w:w="75" w:type="dxa"/>
              <w:left w:w="75" w:type="dxa"/>
              <w:bottom w:w="75" w:type="dxa"/>
              <w:right w:w="75" w:type="dxa"/>
            </w:tcMar>
            <w:vAlign w:val="center"/>
          </w:tcPr>
          <w:p w:rsidR="00D65F4A" w:rsidRDefault="00D65F4A"/>
        </w:tc>
        <w:tc>
          <w:tcPr>
            <w:tcW w:w="4856" w:type="dxa"/>
            <w:shd w:val="clear" w:color="auto" w:fill="FFFFFF"/>
            <w:noWrap/>
            <w:tcMar>
              <w:top w:w="75" w:type="dxa"/>
              <w:left w:w="75" w:type="dxa"/>
              <w:bottom w:w="75" w:type="dxa"/>
              <w:right w:w="75" w:type="dxa"/>
            </w:tcMar>
            <w:vAlign w:val="center"/>
          </w:tcPr>
          <w:p w:rsidR="00D65F4A" w:rsidRDefault="001806C0">
            <w:pPr>
              <w:jc w:val="center"/>
            </w:pPr>
            <w:r>
              <w:t>(vārds, uzvārds, paraksts**)</w:t>
            </w:r>
          </w:p>
        </w:tc>
        <w:tc>
          <w:tcPr>
            <w:tcW w:w="4856" w:type="dxa"/>
            <w:shd w:val="clear" w:color="auto" w:fill="FFFFFF"/>
            <w:noWrap/>
            <w:tcMar>
              <w:top w:w="75" w:type="dxa"/>
              <w:left w:w="75" w:type="dxa"/>
              <w:bottom w:w="75" w:type="dxa"/>
              <w:right w:w="75" w:type="dxa"/>
            </w:tcMar>
            <w:vAlign w:val="center"/>
          </w:tcPr>
          <w:p w:rsidR="00D65F4A" w:rsidRDefault="00D65F4A"/>
        </w:tc>
      </w:tr>
    </w:tbl>
    <w:p w:rsidR="00D65F4A" w:rsidRDefault="00D65F4A"/>
    <w:p w:rsidR="00D65F4A" w:rsidRDefault="001806C0">
      <w:r>
        <w:t>Piezīmes.</w:t>
      </w:r>
    </w:p>
    <w:p w:rsidR="00D65F4A" w:rsidRDefault="001806C0">
      <w:r>
        <w:t>* Iesniedzējs (fiziskai personai – vārds, uzvārds, juridiskai personai – nosaukums) var tikt publiskots, ja viņš tam ir piekritis. Ja attiecināms, iesniedzējs norāda interešu pārstāvja reģistrācijas numuru.</w:t>
      </w:r>
    </w:p>
    <w:p w:rsidR="00D65F4A" w:rsidRDefault="001806C0">
      <w:r>
        <w:t>** Dokumenta rekvizītus "datums" un "paraksts" ne</w:t>
      </w:r>
      <w:r>
        <w:t>aizpilda, ja elektroniskais dokuments ir sagatavots atbilstoši normatīvajiem aktiem par elektronisko dokumentu noformēšanu.</w:t>
      </w:r>
    </w:p>
    <w:sectPr w:rsidR="00D65F4A">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06C0" w:rsidRDefault="001806C0">
      <w:r>
        <w:separator/>
      </w:r>
    </w:p>
  </w:endnote>
  <w:endnote w:type="continuationSeparator" w:id="0">
    <w:p w:rsidR="001806C0" w:rsidRDefault="00180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5F4A" w:rsidRDefault="001806C0">
    <w:pPr>
      <w:jc w:val="right"/>
    </w:pPr>
    <w:r>
      <w:rPr>
        <w:sz w:val="24"/>
        <w:szCs w:val="24"/>
      </w:rPr>
      <w:fldChar w:fldCharType="begin"/>
    </w:r>
    <w:r>
      <w:rPr>
        <w:sz w:val="24"/>
        <w:szCs w:val="24"/>
      </w:rPr>
      <w:instrText>PAGE</w:instrText>
    </w:r>
    <w:r w:rsidR="00A93E33">
      <w:rPr>
        <w:sz w:val="24"/>
        <w:szCs w:val="24"/>
      </w:rPr>
      <w:fldChar w:fldCharType="separate"/>
    </w:r>
    <w:r w:rsidR="00A93E33">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1806C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06C0" w:rsidRDefault="001806C0">
      <w:r>
        <w:separator/>
      </w:r>
    </w:p>
  </w:footnote>
  <w:footnote w:type="continuationSeparator" w:id="0">
    <w:p w:rsidR="001806C0" w:rsidRDefault="00180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5F4A" w:rsidRDefault="001806C0">
    <w:pPr>
      <w:pStyle w:val="Header"/>
      <w:contextualSpacing w:val="0"/>
    </w:pPr>
    <w:r>
      <w:t>Viedokļu pārskats 25-TA-3102</w:t>
    </w:r>
    <w:r>
      <w:br/>
    </w:r>
    <w:r>
      <w:t>Izdrukāts 29.04.2026. 13.14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5F4A" w:rsidRDefault="001806C0">
    <w:pPr>
      <w:pStyle w:val="Header"/>
      <w:contextualSpacing w:val="0"/>
    </w:pPr>
    <w:r>
      <w:t>Viedo</w:t>
    </w:r>
    <w:r>
      <w:t>kļu pārskats 25-TA-3102</w:t>
    </w:r>
    <w:r>
      <w:br/>
    </w:r>
    <w:r>
      <w:t>Izdrukāts 29.04.2026. 13.14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F4A"/>
    <w:rsid w:val="001806C0"/>
    <w:rsid w:val="00A93E33"/>
    <w:rsid w:val="00D65F4A"/>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04BCD"/>
  <w15:docId w15:val="{F4093252-0BA6-47E2-8001-3E1AC3CD8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2756</Words>
  <Characters>1571</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viedoklu_parskats_25-TA-3102.docx</vt:lpstr>
    </vt:vector>
  </TitlesOfParts>
  <Company>LR IEM</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viedoklu_parskats_25-TA-3102.docx</dc:title>
  <dc:creator>Agnese Zīle</dc:creator>
  <cp:lastModifiedBy>Agnese Zīle</cp:lastModifiedBy>
  <cp:revision>2</cp:revision>
  <dcterms:created xsi:type="dcterms:W3CDTF">2026-04-29T10:16:00Z</dcterms:created>
  <dcterms:modified xsi:type="dcterms:W3CDTF">2026-04-29T10:16:00Z</dcterms:modified>
</cp:coreProperties>
</file>