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0347864" w14:textId="77777777" w:rsidR="00075F8E" w:rsidRDefault="00CE0661" w:rsidP="000372FC">
      <w:pPr>
        <w:spacing w:after="240"/>
        <w:ind w:left="720" w:hanging="720"/>
        <w:jc w:val="center"/>
        <w:rPr>
          <w:b/>
        </w:rPr>
      </w:pPr>
      <w:r>
        <w:rPr>
          <w:b/>
        </w:rPr>
        <w:t xml:space="preserve">“Publiskās apspriešanas laikā 26.03.2026. - 09.04.2026. saņemto viedokļu, priekšlikumu un iebildumu apkopojums par Darba samaksas </w:t>
      </w:r>
      <w:proofErr w:type="spellStart"/>
      <w:r>
        <w:rPr>
          <w:b/>
        </w:rPr>
        <w:t>pārredzamības</w:t>
      </w:r>
      <w:proofErr w:type="spellEnd"/>
      <w:r>
        <w:rPr>
          <w:b/>
        </w:rPr>
        <w:t xml:space="preserve"> likums”</w:t>
      </w:r>
    </w:p>
    <w:tbl>
      <w:tblPr>
        <w:tblStyle w:val="1"/>
        <w:tblW w:w="14567" w:type="dxa"/>
        <w:tblInd w:w="0"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4055"/>
        <w:gridCol w:w="4056"/>
        <w:gridCol w:w="1650"/>
        <w:gridCol w:w="4056"/>
      </w:tblGrid>
      <w:tr w:rsidR="00075F8E" w14:paraId="482A5D71" w14:textId="77777777">
        <w:tc>
          <w:tcPr>
            <w:tcW w:w="750" w:type="dxa"/>
            <w:shd w:val="clear" w:color="auto" w:fill="FFFFFF"/>
            <w:noWrap/>
            <w:tcMar>
              <w:top w:w="0" w:type="dxa"/>
              <w:left w:w="0" w:type="dxa"/>
              <w:bottom w:w="0" w:type="dxa"/>
              <w:right w:w="0" w:type="dxa"/>
            </w:tcMar>
            <w:vAlign w:val="center"/>
          </w:tcPr>
          <w:p w14:paraId="37FB7CC7" w14:textId="77777777" w:rsidR="00075F8E" w:rsidRDefault="00CE0661">
            <w:pPr>
              <w:spacing w:line="240" w:lineRule="auto"/>
              <w:jc w:val="center"/>
            </w:pPr>
            <w:proofErr w:type="spellStart"/>
            <w:r>
              <w:rPr>
                <w:b/>
              </w:rPr>
              <w:t>Nr.p.k</w:t>
            </w:r>
            <w:proofErr w:type="spellEnd"/>
            <w:r>
              <w:rPr>
                <w:b/>
              </w:rPr>
              <w:t>.</w:t>
            </w:r>
          </w:p>
        </w:tc>
        <w:tc>
          <w:tcPr>
            <w:tcW w:w="4055" w:type="dxa"/>
            <w:shd w:val="clear" w:color="auto" w:fill="FFFFFF"/>
            <w:noWrap/>
            <w:tcMar>
              <w:top w:w="0" w:type="dxa"/>
              <w:left w:w="0" w:type="dxa"/>
              <w:bottom w:w="0" w:type="dxa"/>
              <w:right w:w="0" w:type="dxa"/>
            </w:tcMar>
            <w:vAlign w:val="center"/>
          </w:tcPr>
          <w:p w14:paraId="45EEC013" w14:textId="77777777" w:rsidR="00075F8E" w:rsidRDefault="00CE0661">
            <w:pPr>
              <w:spacing w:line="240" w:lineRule="auto"/>
              <w:jc w:val="center"/>
            </w:pPr>
            <w:r>
              <w:rPr>
                <w:b/>
              </w:rPr>
              <w:t>Viedokļa / priekšlikuma / iebilduma iesniedzējs*</w:t>
            </w:r>
          </w:p>
        </w:tc>
        <w:tc>
          <w:tcPr>
            <w:tcW w:w="4056" w:type="dxa"/>
            <w:shd w:val="clear" w:color="auto" w:fill="FFFFFF"/>
            <w:noWrap/>
            <w:tcMar>
              <w:top w:w="0" w:type="dxa"/>
              <w:left w:w="0" w:type="dxa"/>
              <w:bottom w:w="0" w:type="dxa"/>
              <w:right w:w="0" w:type="dxa"/>
            </w:tcMar>
            <w:vAlign w:val="center"/>
          </w:tcPr>
          <w:p w14:paraId="734B7450" w14:textId="77777777" w:rsidR="00075F8E" w:rsidRDefault="00CE0661">
            <w:pPr>
              <w:spacing w:line="240" w:lineRule="auto"/>
              <w:jc w:val="center"/>
            </w:pPr>
            <w:r>
              <w:rPr>
                <w:b/>
              </w:rPr>
              <w:t>Iesniegtā viedokļa / priekšlikuma / iebilduma būtība</w:t>
            </w:r>
          </w:p>
        </w:tc>
        <w:tc>
          <w:tcPr>
            <w:tcW w:w="1650" w:type="dxa"/>
            <w:shd w:val="clear" w:color="auto" w:fill="FFFFFF"/>
            <w:noWrap/>
            <w:tcMar>
              <w:top w:w="0" w:type="dxa"/>
              <w:left w:w="0" w:type="dxa"/>
              <w:bottom w:w="0" w:type="dxa"/>
              <w:right w:w="0" w:type="dxa"/>
            </w:tcMar>
            <w:vAlign w:val="center"/>
          </w:tcPr>
          <w:p w14:paraId="30BA11FB" w14:textId="77777777" w:rsidR="00075F8E" w:rsidRDefault="00CE0661">
            <w:pPr>
              <w:spacing w:line="240" w:lineRule="auto"/>
              <w:jc w:val="center"/>
            </w:pPr>
            <w:r>
              <w:rPr>
                <w:b/>
              </w:rPr>
              <w:t>Ņemts vērā / ņemts vērā daļēji / nav ņemts vērā</w:t>
            </w:r>
          </w:p>
        </w:tc>
        <w:tc>
          <w:tcPr>
            <w:tcW w:w="4056" w:type="dxa"/>
            <w:shd w:val="clear" w:color="auto" w:fill="FFFFFF"/>
            <w:noWrap/>
            <w:tcMar>
              <w:top w:w="0" w:type="dxa"/>
              <w:left w:w="0" w:type="dxa"/>
              <w:bottom w:w="0" w:type="dxa"/>
              <w:right w:w="0" w:type="dxa"/>
            </w:tcMar>
            <w:vAlign w:val="center"/>
          </w:tcPr>
          <w:p w14:paraId="6D5099D4" w14:textId="77777777" w:rsidR="00075F8E" w:rsidRDefault="00CE0661">
            <w:pPr>
              <w:spacing w:line="240" w:lineRule="auto"/>
              <w:jc w:val="center"/>
            </w:pPr>
            <w:r>
              <w:rPr>
                <w:b/>
              </w:rPr>
              <w:t>Skaidrojums, kādā veidā viedoklis / priekšlikums / iebildums ir ņemts vērā vai ņemts vērā daļēji, vai pamatojums, ja viedoklis / priekšlikums / iebildums nav ņemts vērā</w:t>
            </w:r>
          </w:p>
        </w:tc>
      </w:tr>
      <w:tr w:rsidR="00075F8E" w14:paraId="5DA4242B" w14:textId="77777777">
        <w:tc>
          <w:tcPr>
            <w:tcW w:w="750" w:type="dxa"/>
            <w:shd w:val="clear" w:color="auto" w:fill="FFFFFF"/>
            <w:noWrap/>
            <w:tcMar>
              <w:top w:w="0" w:type="dxa"/>
              <w:left w:w="0" w:type="dxa"/>
              <w:bottom w:w="0" w:type="dxa"/>
              <w:right w:w="0" w:type="dxa"/>
            </w:tcMar>
            <w:vAlign w:val="center"/>
          </w:tcPr>
          <w:p w14:paraId="1C4F829B" w14:textId="77777777" w:rsidR="00075F8E" w:rsidRDefault="00CE0661">
            <w:pPr>
              <w:spacing w:line="240" w:lineRule="auto"/>
              <w:jc w:val="center"/>
            </w:pPr>
            <w:r>
              <w:t>1.</w:t>
            </w:r>
          </w:p>
        </w:tc>
        <w:tc>
          <w:tcPr>
            <w:tcW w:w="4055" w:type="dxa"/>
            <w:shd w:val="clear" w:color="auto" w:fill="FFFFFF"/>
            <w:noWrap/>
            <w:tcMar>
              <w:top w:w="0" w:type="dxa"/>
              <w:left w:w="0" w:type="dxa"/>
              <w:bottom w:w="0" w:type="dxa"/>
              <w:right w:w="0" w:type="dxa"/>
            </w:tcMar>
            <w:vAlign w:val="center"/>
          </w:tcPr>
          <w:p w14:paraId="315243E2" w14:textId="77777777" w:rsidR="00075F8E" w:rsidRDefault="00CE0661">
            <w:pPr>
              <w:spacing w:line="240" w:lineRule="auto"/>
              <w:jc w:val="left"/>
            </w:pPr>
            <w:r>
              <w:t xml:space="preserve">SIA </w:t>
            </w:r>
            <w:proofErr w:type="spellStart"/>
            <w:r>
              <w:t>Trodo</w:t>
            </w:r>
            <w:proofErr w:type="spellEnd"/>
            <w:r>
              <w:t xml:space="preserve">, Elīna </w:t>
            </w:r>
            <w:proofErr w:type="spellStart"/>
            <w:r>
              <w:t>Pentjuša</w:t>
            </w:r>
            <w:proofErr w:type="spellEnd"/>
          </w:p>
        </w:tc>
        <w:tc>
          <w:tcPr>
            <w:tcW w:w="4056" w:type="dxa"/>
            <w:shd w:val="clear" w:color="auto" w:fill="FFFFFF"/>
            <w:noWrap/>
            <w:tcMar>
              <w:top w:w="0" w:type="dxa"/>
              <w:left w:w="0" w:type="dxa"/>
              <w:bottom w:w="0" w:type="dxa"/>
              <w:right w:w="0" w:type="dxa"/>
            </w:tcMar>
            <w:vAlign w:val="center"/>
          </w:tcPr>
          <w:p w14:paraId="3C030B32" w14:textId="77777777" w:rsidR="00075F8E" w:rsidRDefault="00CE0661">
            <w:pPr>
              <w:spacing w:line="240" w:lineRule="auto"/>
              <w:jc w:val="left"/>
            </w:pPr>
            <w:r>
              <w:t>1. Vispārējais vērtējums</w:t>
            </w:r>
            <w:r>
              <w:br/>
              <w:t xml:space="preserve">Iesniedzējs kopumā atbalsta likumprojekta “Darba samaksas </w:t>
            </w:r>
            <w:proofErr w:type="spellStart"/>
            <w:r>
              <w:t>pārredzamības</w:t>
            </w:r>
            <w:proofErr w:type="spellEnd"/>
            <w:r>
              <w:t xml:space="preserve"> likums” mērķi - veicināt vienlīdzīgu darba samaksu sievietēm un vīriešiem, kā arī palielināt darba samaksas caurspīdību. Likumprojekts konceptuāli ir atbilstošs Eiropas Parlamenta un Padomes Direktīvai (ES) 2023/970 un ietver būtiskus mehānismus vienlīdzīgas darba samaksas principa stiprināšanai.</w:t>
            </w:r>
            <w:r>
              <w:br/>
              <w:t>Pozitīvi vērtējama:</w:t>
            </w:r>
            <w:r>
              <w:br/>
              <w:t>skaidri definēta darba samaksas jēdzienu sistēma;</w:t>
            </w:r>
            <w:r>
              <w:br/>
              <w:t xml:space="preserve">darba devēju pienākums nodrošināt </w:t>
            </w:r>
            <w:proofErr w:type="spellStart"/>
            <w:r>
              <w:t>dzimumneitrālus</w:t>
            </w:r>
            <w:proofErr w:type="spellEnd"/>
            <w:r>
              <w:t xml:space="preserve"> kritērijus;</w:t>
            </w:r>
            <w:r>
              <w:br/>
              <w:t xml:space="preserve">darbinieku tiesību paplašināšana </w:t>
            </w:r>
            <w:r>
              <w:lastRenderedPageBreak/>
              <w:t>attiecībā uz informācijas pieejamību;</w:t>
            </w:r>
            <w:r>
              <w:br/>
              <w:t>pierādīšanas pienākuma pāreja uz darba devēju diskriminācijas gadījumos;</w:t>
            </w:r>
            <w:r>
              <w:br/>
              <w:t>ziņošanas un uzraudzības mehānismu ieviešana.</w:t>
            </w:r>
            <w:r>
              <w:br/>
              <w:t>Vienlaikus likumprojektā identificējami vairāki aspekti, kas var radīt praktiskas ieviešanas grūtības un tiesiskās nenoteiktības riskus.</w:t>
            </w:r>
            <w:r>
              <w:br/>
              <w:t>2. Galvenie izaicinājumi un riski</w:t>
            </w:r>
            <w:r>
              <w:br/>
              <w:t>2.1. “Vienādas vērtības darba” praktiskā piemērošana</w:t>
            </w:r>
            <w:r>
              <w:br/>
              <w:t xml:space="preserve">Likumprojekts paredz, ka darba samaksas sistēmai jābalstās uz objektīviem un </w:t>
            </w:r>
            <w:proofErr w:type="spellStart"/>
            <w:r>
              <w:t>dzimumneitrāliem</w:t>
            </w:r>
            <w:proofErr w:type="spellEnd"/>
            <w:r>
              <w:t xml:space="preserve"> kritērijiem, piemēram, prasmēm, piepūli, atbildību un darba apstākļiem, tomēr netiek nodrošināta vienota metodika šo kritēriju praktiskai piemērošanai.</w:t>
            </w:r>
            <w:r>
              <w:br/>
              <w:t>Rezultātā dažādi darba devēji var interpretēt “vienādas vērtības darbu” atšķirīgi; pieaug strīdu un tiesvedības risks; tiek apgrūtināta salīdzināmība starp organizācijām.</w:t>
            </w:r>
            <w:r>
              <w:br/>
            </w:r>
            <w:r>
              <w:lastRenderedPageBreak/>
              <w:t>2.2. Nodarbināto kategoriju veidošanas neskaidrības</w:t>
            </w:r>
            <w:r>
              <w:br/>
              <w:t>Likumprojekts paredz nodarbināto grupēšanu kategorijās, balstoties uz nediskriminējošiem kritērijiem. Tomēr nav noteiktas vienotas vadlīnijas kategoriju veidošanai; pastāv risks, ka kategorijas tiks veidotas formāli vai neviennozīmīgi.</w:t>
            </w:r>
            <w:r>
              <w:br/>
              <w:t xml:space="preserve">Tas var ietekmēt datu kvalitāti un samazināt </w:t>
            </w:r>
            <w:proofErr w:type="spellStart"/>
            <w:r>
              <w:t>pārredzamības</w:t>
            </w:r>
            <w:proofErr w:type="spellEnd"/>
            <w:r>
              <w:t xml:space="preserve"> mērķa efektivitāti.</w:t>
            </w:r>
            <w:r>
              <w:br/>
              <w:t>2.3. Administratīvais slogs darba devējiem</w:t>
            </w:r>
            <w:r>
              <w:br/>
              <w:t>Likumprojekts paredz detalizētu ziņošanas pienākumu, īpaši darba devējiem ar 100 un vairāk nodarbinātajiem.</w:t>
            </w:r>
            <w:r>
              <w:br/>
              <w:t>Praksē tas nozīmē būtisku papildu slogu HR, finanšu un IT funkcijām; nepieciešamību pēc datu analītikas kapacitātes; papildu izmaksas (piemēram, ārējo ekspertu piesaiste). Īpaši būtiski tas skars vidēja lieluma uzņēmumus (100–249 darbinieki).</w:t>
            </w:r>
            <w:r>
              <w:br/>
              <w:t xml:space="preserve">2.4. Darbinieku informācijas </w:t>
            </w:r>
            <w:r>
              <w:lastRenderedPageBreak/>
              <w:t>interpretācijas risks</w:t>
            </w:r>
            <w:r>
              <w:br/>
              <w:t xml:space="preserve">Likumprojekts paredz darbiniekiem plašas tiesības pieprasīt informāciju par darba samaksu, tostarp salīdzinājumā ar citiem. Tomēr netiek paredzēti mehānismi šīs informācijas interpretācijas atbalstam; statistiskie rādītāji (mediāna, </w:t>
            </w:r>
            <w:proofErr w:type="spellStart"/>
            <w:r>
              <w:t>kvartiles</w:t>
            </w:r>
            <w:proofErr w:type="spellEnd"/>
            <w:r>
              <w:t>) var būt grūti saprotami.</w:t>
            </w:r>
            <w:r>
              <w:br/>
              <w:t>Tas var radīt nepamatotus pieņēmumus par nevienlīdzību; iekšējos konfliktus organizācijās.</w:t>
            </w:r>
            <w:r>
              <w:br/>
              <w:t>2.5. 5% darba samaksas atšķirības sliekšņa piemērošana</w:t>
            </w:r>
            <w:r>
              <w:br/>
              <w:t>Likumprojekts nosaka pienākumu veikt korektīvus pasākumus, ja konstatēta vismaz 5% darba samaksas atšķirība un tā nav pamatota. Tomēr, nav skaidri definēts, kas uzskatāms par pietiekamu pamatojumu; nav noteikta vienota pieeja korektīvo pasākumu īstenošanai. Tas var radīt atšķirīgu interpretāciju praksē un nevienlīdzīgu normu piemērošanu.</w:t>
            </w:r>
            <w:r>
              <w:br/>
              <w:t>3. Atbilstība ES direktīvai</w:t>
            </w:r>
            <w:r>
              <w:br/>
              <w:t xml:space="preserve">Likumprojekts kopumā nodrošina </w:t>
            </w:r>
            <w:r>
              <w:lastRenderedPageBreak/>
              <w:t>augstu atbilstību Direktīvai (ES) 2023/970, tostarp attiecībā uz:</w:t>
            </w:r>
            <w:r>
              <w:br/>
              <w:t>darba samaksas informācijas sniegšanu pirms darba attiecību uzsākšanas;</w:t>
            </w:r>
            <w:r>
              <w:br/>
              <w:t>aizliegumu pieprasīt informāciju par iepriekšējo darba samaksu;</w:t>
            </w:r>
            <w:r>
              <w:br/>
              <w:t>darbinieku tiesībām uz informāciju;</w:t>
            </w:r>
            <w:r>
              <w:br/>
              <w:t>ziņošanas pienākumiem par darba samaksas atšķirībām;</w:t>
            </w:r>
            <w:r>
              <w:br/>
              <w:t>pierādīšanas pienākuma maiņu diskriminācijas gadījumos .</w:t>
            </w:r>
            <w:r>
              <w:br/>
              <w:t>Tomēr pastāv risks, ka bez detalizētām vadlīnijām normu piemērošana būs formāla, nevis pēc būtības vērsta uz faktiskas nevienlīdzības mazināšanu.</w:t>
            </w:r>
            <w:r>
              <w:br/>
              <w:t>4. Priekšlikumi likumprojekta pilnveidei</w:t>
            </w:r>
            <w:r>
              <w:br/>
              <w:t>Lai nodrošinātu efektīvu un vienotu likuma piemērošanu, iesniedzējs aicina:</w:t>
            </w:r>
            <w:r>
              <w:br/>
              <w:t>4.1. Izstrādāt vienotu metodiku</w:t>
            </w:r>
            <w:r>
              <w:br/>
              <w:t>darba vērtēšanai (“vienādas vērtības darbs”); nodarbināto kategoriju veidošanai; darba samaksas atšķirību aprēķinam.</w:t>
            </w:r>
            <w:r>
              <w:br/>
              <w:t xml:space="preserve">4.2. Sagatavot praktiskas vadlīnijas </w:t>
            </w:r>
            <w:r>
              <w:lastRenderedPageBreak/>
              <w:t>darba devējiem</w:t>
            </w:r>
            <w:r>
              <w:br/>
              <w:t>piemēri darba samaksas sistēmu izveidei; rekomendācijas komunikācijai ar darbiniekiem; interpretācijas skaidrojumi.</w:t>
            </w:r>
            <w:r>
              <w:br/>
              <w:t>4.3. Samērīguma principa ievērošana</w:t>
            </w:r>
            <w:r>
              <w:br/>
              <w:t>izvērtēt administratīvā sloga samazināšanas iespējas vidējiem uzņēmumiem; paredzēt pārejas perioda atbalsta mehānismus.</w:t>
            </w:r>
            <w:r>
              <w:br/>
              <w:t>4.4. Stiprināt ieviešanas atbalstu</w:t>
            </w:r>
            <w:r>
              <w:br/>
              <w:t>apmācības darba devējiem un vadītājiem; informatīvie materiāli darbiniekiem; digitālie rīki datu apstrādei.</w:t>
            </w:r>
            <w:r>
              <w:br/>
              <w:t>4.5. Precizēt korektīvo pasākumu regulējumu</w:t>
            </w:r>
            <w:r>
              <w:br/>
              <w:t>skaidrāk definēt “objektīvu pamatojumu”; noteikt pamatprincipus korekciju veikšanai.</w:t>
            </w:r>
            <w:r>
              <w:br/>
              <w:t>5. Noslēgums</w:t>
            </w:r>
            <w:r>
              <w:br/>
              <w:t xml:space="preserve">Likumprojekts ir nozīmīgs solis vienlīdzīgas darba samaksas principa stiprināšanā Latvijā un atbilst Eiropas Savienības regulējumam. Vienlaikus tā </w:t>
            </w:r>
            <w:r>
              <w:lastRenderedPageBreak/>
              <w:t>praktiskā efektivitāte būs būtiski atkarīga no skaidras metodikas, vienotas interpretācijas, atbilstoša ieviešanas atbalsta.</w:t>
            </w:r>
            <w:r>
              <w:br/>
              <w:t>Bez šo elementu nodrošināšanas pastāv risks, ka likuma prasības tiks izpildītas formāli, nepanākot būtisku progresu darba samaksas nevienlīdzības mazināšanā.</w:t>
            </w:r>
          </w:p>
        </w:tc>
        <w:tc>
          <w:tcPr>
            <w:tcW w:w="1650" w:type="dxa"/>
            <w:shd w:val="clear" w:color="auto" w:fill="FFFFFF"/>
            <w:noWrap/>
            <w:tcMar>
              <w:top w:w="0" w:type="dxa"/>
              <w:left w:w="0" w:type="dxa"/>
              <w:bottom w:w="0" w:type="dxa"/>
              <w:right w:w="0" w:type="dxa"/>
            </w:tcMar>
            <w:vAlign w:val="center"/>
          </w:tcPr>
          <w:p w14:paraId="5BD14BB0" w14:textId="0B78B952" w:rsidR="00075F8E" w:rsidRDefault="00424834">
            <w:pPr>
              <w:spacing w:line="240" w:lineRule="auto"/>
              <w:jc w:val="left"/>
            </w:pPr>
            <w:r>
              <w:lastRenderedPageBreak/>
              <w:t xml:space="preserve">Ņemts vērā </w:t>
            </w:r>
          </w:p>
        </w:tc>
        <w:tc>
          <w:tcPr>
            <w:tcW w:w="4056" w:type="dxa"/>
            <w:shd w:val="clear" w:color="auto" w:fill="FFFFFF"/>
            <w:noWrap/>
            <w:tcMar>
              <w:top w:w="0" w:type="dxa"/>
              <w:left w:w="0" w:type="dxa"/>
              <w:bottom w:w="0" w:type="dxa"/>
              <w:right w:w="0" w:type="dxa"/>
            </w:tcMar>
            <w:vAlign w:val="center"/>
          </w:tcPr>
          <w:p w14:paraId="58F697D8" w14:textId="5066D4EE" w:rsidR="00812B66" w:rsidRDefault="00424834" w:rsidP="00EE6D04">
            <w:pPr>
              <w:spacing w:line="240" w:lineRule="auto"/>
            </w:pPr>
            <w:r w:rsidRPr="00424834">
              <w:t xml:space="preserve">Iesniedzēja </w:t>
            </w:r>
            <w:r w:rsidR="00913177">
              <w:t xml:space="preserve">priekšlikumi </w:t>
            </w:r>
            <w:r w:rsidRPr="00424834">
              <w:t xml:space="preserve">ir izvērtēti. </w:t>
            </w:r>
          </w:p>
          <w:p w14:paraId="0213B1CE" w14:textId="77777777" w:rsidR="00A40B7D" w:rsidRDefault="00A40B7D" w:rsidP="00EE6D04">
            <w:pPr>
              <w:spacing w:line="240" w:lineRule="auto"/>
            </w:pPr>
          </w:p>
          <w:p w14:paraId="65B168EB" w14:textId="3D51B183" w:rsidR="00424834" w:rsidRDefault="00424834" w:rsidP="00EE6D04">
            <w:pPr>
              <w:spacing w:line="240" w:lineRule="auto"/>
            </w:pPr>
            <w:r>
              <w:t>Ne Direktī</w:t>
            </w:r>
            <w:r w:rsidR="00812B66">
              <w:t>va</w:t>
            </w:r>
            <w:r w:rsidR="00812B66" w:rsidRPr="00424834">
              <w:t xml:space="preserve"> 2023/970</w:t>
            </w:r>
            <w:r w:rsidR="00EE6D04">
              <w:t xml:space="preserve"> (turpmāk – Direktīva)</w:t>
            </w:r>
            <w:r w:rsidR="00812B66">
              <w:t>, ne</w:t>
            </w:r>
            <w:r w:rsidR="00812B66" w:rsidRPr="00424834">
              <w:t xml:space="preserve"> </w:t>
            </w:r>
            <w:r w:rsidRPr="00424834">
              <w:t xml:space="preserve"> </w:t>
            </w:r>
            <w:r w:rsidR="0013460E">
              <w:t xml:space="preserve">attiecīgi </w:t>
            </w:r>
            <w:r w:rsidRPr="00424834">
              <w:t xml:space="preserve">likumprojekts apzināti </w:t>
            </w:r>
            <w:r w:rsidRPr="00A40B7D">
              <w:t>nenosaka vienotu, juridiski saistošu metodiku</w:t>
            </w:r>
            <w:r w:rsidR="006C02C2" w:rsidRPr="00A40B7D">
              <w:t xml:space="preserve"> nodarbināto amatu novērtēšanai</w:t>
            </w:r>
            <w:r w:rsidRPr="00A40B7D">
              <w:t>, jo</w:t>
            </w:r>
            <w:r w:rsidRPr="00424834">
              <w:t xml:space="preserve"> paredz elastīgu pieeju, ļaujot darba devējiem ņemt vērā organizācijas lielumu, struktūru un nozares īpatnības, vienlaikus nodrošinot </w:t>
            </w:r>
            <w:proofErr w:type="spellStart"/>
            <w:r w:rsidRPr="00424834">
              <w:t>dzimumneitrālus</w:t>
            </w:r>
            <w:proofErr w:type="spellEnd"/>
            <w:r w:rsidRPr="00424834">
              <w:t xml:space="preserve"> un objektīvus kritērijus.</w:t>
            </w:r>
            <w:r w:rsidR="006C02C2">
              <w:t xml:space="preserve"> Tas noradīts arī likumprojekta anotācijā</w:t>
            </w:r>
            <w:r w:rsidR="00011FBA">
              <w:t xml:space="preserve"> -  </w:t>
            </w:r>
            <w:r w:rsidR="00A24E1D">
              <w:t>“</w:t>
            </w:r>
            <w:r w:rsidR="00A24E1D" w:rsidRPr="00A24E1D">
              <w:t xml:space="preserve">Katrai iestādei vai uzņēmumam ir sava, individuāla darba specifika, līdz ar to ikviena darba devēja uzdevums ir izveidot iekšēju darba samaksas struktūru un noteikt, kas uzskatāms </w:t>
            </w:r>
            <w:r w:rsidR="00A24E1D" w:rsidRPr="00A24E1D">
              <w:lastRenderedPageBreak/>
              <w:t xml:space="preserve">par vienādu vai vienādas vērtības darbu konkrētā uzņēmuma vai iestādes ietvaros, ņemot vērā iepriekš objektīvus un </w:t>
            </w:r>
            <w:proofErr w:type="spellStart"/>
            <w:r w:rsidR="00A24E1D" w:rsidRPr="00A24E1D">
              <w:t>dzimumneitrālus</w:t>
            </w:r>
            <w:proofErr w:type="spellEnd"/>
            <w:r w:rsidR="00A24E1D" w:rsidRPr="00A24E1D">
              <w:t xml:space="preserve"> kritērijus, kā galvenos akcentējot prasmes, piepūli, atbildību un darba apstākļus</w:t>
            </w:r>
            <w:r w:rsidR="00A24E1D">
              <w:t>”</w:t>
            </w:r>
          </w:p>
          <w:p w14:paraId="53CC607E" w14:textId="0EFE3689" w:rsidR="00A24E1D" w:rsidRDefault="0013460E" w:rsidP="00EE6D04">
            <w:pPr>
              <w:spacing w:line="240" w:lineRule="auto"/>
            </w:pPr>
            <w:r>
              <w:t xml:space="preserve">Vienlaikus norādāms, ka jau pašlaik </w:t>
            </w:r>
            <w:r w:rsidRPr="0013460E">
              <w:t>Darba likuma 60.pantā, skaidri noteikts, ka darba devējam ir pienākums noteikt vienlīdzīgu darba samaksu vīriešiem un sievietēm par tādu pašu darbu vai vienādas vērtības darbu</w:t>
            </w:r>
            <w:r w:rsidR="00817FAB">
              <w:t xml:space="preserve">. </w:t>
            </w:r>
            <w:r w:rsidR="00A24E1D">
              <w:t xml:space="preserve">Tādejādi </w:t>
            </w:r>
            <w:r w:rsidR="00DF377F">
              <w:t>jau tagad darba devēja</w:t>
            </w:r>
            <w:r w:rsidR="003C60DD">
              <w:t xml:space="preserve">m būtu jābūt šādai </w:t>
            </w:r>
            <w:r w:rsidR="00DF377F" w:rsidRPr="00DF377F">
              <w:t>iekšēj</w:t>
            </w:r>
            <w:r w:rsidR="003C60DD">
              <w:t>ai</w:t>
            </w:r>
            <w:r w:rsidR="00DF377F" w:rsidRPr="00DF377F">
              <w:t xml:space="preserve"> darba samaksas struktūr</w:t>
            </w:r>
            <w:r w:rsidR="003C60DD">
              <w:t>ai, kurā</w:t>
            </w:r>
            <w:r w:rsidR="00DF377F" w:rsidRPr="00DF377F">
              <w:t xml:space="preserve"> noteikt</w:t>
            </w:r>
            <w:r w:rsidR="003C60DD">
              <w:t>s</w:t>
            </w:r>
            <w:r w:rsidR="00DF377F" w:rsidRPr="00DF377F">
              <w:t>, kas uzskatāms par vienādu vai vienādas vērtības darbu konkrētā uzņēmuma vai iestādes ietvaros</w:t>
            </w:r>
            <w:r w:rsidR="003C60DD">
              <w:t xml:space="preserve">. </w:t>
            </w:r>
            <w:r w:rsidR="000C2EA1">
              <w:t xml:space="preserve">Pretējā gadījumā </w:t>
            </w:r>
            <w:r w:rsidR="00834F96">
              <w:t>darba</w:t>
            </w:r>
            <w:r w:rsidR="000C2EA1">
              <w:t xml:space="preserve"> devējs nesp</w:t>
            </w:r>
            <w:r w:rsidR="00834F96">
              <w:t xml:space="preserve">ētu </w:t>
            </w:r>
            <w:r w:rsidR="000C2EA1">
              <w:t>pildīt Darba likuma 60.pantā noteikto.</w:t>
            </w:r>
          </w:p>
          <w:p w14:paraId="67123628" w14:textId="0D5A1460" w:rsidR="0013460E" w:rsidRPr="00424834" w:rsidRDefault="00817FAB" w:rsidP="00EE6D04">
            <w:pPr>
              <w:spacing w:line="240" w:lineRule="auto"/>
            </w:pPr>
            <w:r>
              <w:t xml:space="preserve"> </w:t>
            </w:r>
          </w:p>
          <w:p w14:paraId="6212FF0C" w14:textId="3D300208" w:rsidR="00424834" w:rsidRPr="00424834" w:rsidRDefault="00424834" w:rsidP="00EE6D04">
            <w:pPr>
              <w:spacing w:line="240" w:lineRule="auto"/>
              <w:rPr>
                <w:b/>
                <w:bCs/>
              </w:rPr>
            </w:pPr>
            <w:r w:rsidRPr="00424834">
              <w:t xml:space="preserve">Vienlaikus tiek ņemts vērā, ka </w:t>
            </w:r>
            <w:r w:rsidRPr="00A40B7D">
              <w:t xml:space="preserve">praktiskai </w:t>
            </w:r>
            <w:r w:rsidR="00834F96" w:rsidRPr="00A40B7D">
              <w:t xml:space="preserve">likumprojekta </w:t>
            </w:r>
            <w:r w:rsidRPr="00A40B7D">
              <w:t>normu piemērošanai ir nepieciešams metodiskais atbalsts.</w:t>
            </w:r>
            <w:r w:rsidRPr="00424834">
              <w:t xml:space="preserve"> Šajā kontekstā </w:t>
            </w:r>
            <w:r w:rsidRPr="00424834">
              <w:lastRenderedPageBreak/>
              <w:t xml:space="preserve">norādāms, ka Eiropas Dzimumu līdztiesības institūts (EIGE) ir izstrādājis </w:t>
            </w:r>
            <w:r w:rsidRPr="00A40B7D">
              <w:t>E</w:t>
            </w:r>
            <w:r w:rsidR="00B76EE4" w:rsidRPr="00A40B7D">
              <w:t xml:space="preserve">iropas </w:t>
            </w:r>
            <w:r w:rsidRPr="00A40B7D">
              <w:t>S</w:t>
            </w:r>
            <w:r w:rsidR="00B76EE4" w:rsidRPr="00A40B7D">
              <w:t xml:space="preserve">avienības </w:t>
            </w:r>
            <w:r w:rsidRPr="00A40B7D">
              <w:t xml:space="preserve"> mēroga </w:t>
            </w:r>
            <w:proofErr w:type="spellStart"/>
            <w:r w:rsidRPr="00A40B7D">
              <w:t>dzimumneitrālas</w:t>
            </w:r>
            <w:proofErr w:type="spellEnd"/>
            <w:r w:rsidRPr="00A40B7D">
              <w:t xml:space="preserve"> amatu novērtēšanas un klasifikācijas vadlīnijas</w:t>
            </w:r>
            <w:r w:rsidR="002A60F5" w:rsidRPr="00A40B7D">
              <w:t xml:space="preserve"> </w:t>
            </w:r>
            <w:hyperlink r:id="rId7" w:history="1">
              <w:r w:rsidR="002A60F5" w:rsidRPr="00A40B7D">
                <w:rPr>
                  <w:rStyle w:val="Hyperlink"/>
                </w:rPr>
                <w:t>https://eige.europa.eu/gender-mainstreaming/toolkits/gender-neutral-job-evaluation</w:t>
              </w:r>
            </w:hyperlink>
            <w:r w:rsidR="002A60F5">
              <w:rPr>
                <w:b/>
                <w:bCs/>
              </w:rPr>
              <w:t>,</w:t>
            </w:r>
            <w:r w:rsidR="00834F96">
              <w:rPr>
                <w:b/>
                <w:bCs/>
              </w:rPr>
              <w:t xml:space="preserve"> </w:t>
            </w:r>
            <w:r w:rsidRPr="00424834">
              <w:t xml:space="preserve">kas piedāvā strukturētu, soli pa solim īstenojamu pieeju </w:t>
            </w:r>
            <w:r w:rsidR="00834F96">
              <w:t>amatu</w:t>
            </w:r>
            <w:r w:rsidRPr="00424834">
              <w:t xml:space="preserve"> vērtēšanai, balstoties uz objektīviem un </w:t>
            </w:r>
            <w:proofErr w:type="spellStart"/>
            <w:r w:rsidRPr="00424834">
              <w:t>dzimumneitrāliem</w:t>
            </w:r>
            <w:proofErr w:type="spellEnd"/>
            <w:r w:rsidRPr="00424834">
              <w:t xml:space="preserve"> kritērijiem (prasmes, piepūle, atbildība, darba apstākļi), un ir izmantojamas dažāda lieluma organizācijās.</w:t>
            </w:r>
          </w:p>
          <w:p w14:paraId="2BE0B033" w14:textId="0A906125" w:rsidR="00373D11" w:rsidRDefault="00424834" w:rsidP="00EE6D04">
            <w:pPr>
              <w:spacing w:line="240" w:lineRule="auto"/>
            </w:pPr>
            <w:r w:rsidRPr="00424834">
              <w:t xml:space="preserve">Lai </w:t>
            </w:r>
            <w:r w:rsidRPr="00F04007">
              <w:t>veicinātu darba devēju izpratni un atbalstītu Direktīvas prasību ieviešanu praksē</w:t>
            </w:r>
            <w:r w:rsidRPr="00424834">
              <w:t>,</w:t>
            </w:r>
            <w:r w:rsidR="00B76EE4">
              <w:t xml:space="preserve"> Labklājības </w:t>
            </w:r>
            <w:r w:rsidRPr="00424834">
              <w:t xml:space="preserve"> ministrija jau ir uzsākusi un turpinās īstenot informatīvus un izpratni veicinošus pasākumus. 2025. gadā tika īstenots tiešsaistes </w:t>
            </w:r>
            <w:proofErr w:type="spellStart"/>
            <w:r w:rsidR="00B76EE4">
              <w:t>veb</w:t>
            </w:r>
            <w:r w:rsidRPr="00424834">
              <w:t>ināru</w:t>
            </w:r>
            <w:proofErr w:type="spellEnd"/>
            <w:r w:rsidRPr="00424834">
              <w:t xml:space="preserve"> cikls darba devējiem</w:t>
            </w:r>
          </w:p>
          <w:p w14:paraId="34E56B8E" w14:textId="74430B0A" w:rsidR="00A26C38" w:rsidRPr="00F04007" w:rsidRDefault="00F04007" w:rsidP="00EE6D04">
            <w:pPr>
              <w:spacing w:line="240" w:lineRule="auto"/>
            </w:pPr>
            <w:r w:rsidRPr="00F04007">
              <w:t>Jau noticis t</w:t>
            </w:r>
            <w:r w:rsidR="00A26C38" w:rsidRPr="00F04007">
              <w:t>iešsaistes semināru cikls par pārredzamu darba samaksu</w:t>
            </w:r>
            <w:r w:rsidR="00A26C38" w:rsidRPr="00F04007">
              <w:rPr>
                <w:lang w:val="en-GB"/>
              </w:rPr>
              <w:t xml:space="preserve">: </w:t>
            </w:r>
          </w:p>
          <w:p w14:paraId="605C04B2" w14:textId="77777777" w:rsidR="00A26C38" w:rsidRPr="00A26C38" w:rsidRDefault="00A26C38" w:rsidP="00EE6D04">
            <w:pPr>
              <w:numPr>
                <w:ilvl w:val="0"/>
                <w:numId w:val="1"/>
              </w:numPr>
              <w:spacing w:line="240" w:lineRule="auto"/>
            </w:pPr>
            <w:hyperlink r:id="rId8" w:history="1">
              <w:r w:rsidRPr="00A26C38">
                <w:rPr>
                  <w:rStyle w:val="Hyperlink"/>
                </w:rPr>
                <w:t>kas jāzina darba devējiem</w:t>
              </w:r>
            </w:hyperlink>
            <w:r w:rsidRPr="00A26C38">
              <w:t xml:space="preserve"> (17.06.2025.)</w:t>
            </w:r>
          </w:p>
          <w:p w14:paraId="452CFFE6" w14:textId="77777777" w:rsidR="00A26C38" w:rsidRPr="00A26C38" w:rsidRDefault="00A26C38" w:rsidP="00EE6D04">
            <w:pPr>
              <w:numPr>
                <w:ilvl w:val="0"/>
                <w:numId w:val="1"/>
              </w:numPr>
              <w:spacing w:line="240" w:lineRule="auto"/>
            </w:pPr>
            <w:hyperlink r:id="rId9" w:history="1">
              <w:r w:rsidRPr="00A26C38">
                <w:rPr>
                  <w:rStyle w:val="Hyperlink"/>
                </w:rPr>
                <w:t xml:space="preserve">kā veidot taisnīgu amatu vērtēšanas un atalgojuma sistēmu </w:t>
              </w:r>
            </w:hyperlink>
            <w:r w:rsidRPr="00A26C38">
              <w:t>(22.08.2025.)</w:t>
            </w:r>
          </w:p>
          <w:p w14:paraId="6A61EF39" w14:textId="77777777" w:rsidR="00A26C38" w:rsidRPr="00A26C38" w:rsidRDefault="00A26C38" w:rsidP="00EE6D04">
            <w:pPr>
              <w:numPr>
                <w:ilvl w:val="0"/>
                <w:numId w:val="1"/>
              </w:numPr>
              <w:spacing w:line="240" w:lineRule="auto"/>
            </w:pPr>
            <w:hyperlink r:id="rId10" w:history="1">
              <w:r w:rsidRPr="00A26C38">
                <w:rPr>
                  <w:rStyle w:val="Hyperlink"/>
                </w:rPr>
                <w:t>kā komunicēt ar darbiniekiem par darba samaksu</w:t>
              </w:r>
            </w:hyperlink>
            <w:r w:rsidRPr="00A26C38">
              <w:t xml:space="preserve"> (19.09.2025.)</w:t>
            </w:r>
          </w:p>
          <w:p w14:paraId="4A234149" w14:textId="10394A15" w:rsidR="00A26C38" w:rsidRPr="00A26C38" w:rsidRDefault="00A26C38" w:rsidP="00EE6D04">
            <w:pPr>
              <w:numPr>
                <w:ilvl w:val="0"/>
                <w:numId w:val="1"/>
              </w:numPr>
              <w:spacing w:line="240" w:lineRule="auto"/>
            </w:pPr>
            <w:r w:rsidRPr="00A26C38">
              <w:t>semināru video ierakst</w:t>
            </w:r>
            <w:proofErr w:type="spellStart"/>
            <w:r w:rsidRPr="00A26C38">
              <w:rPr>
                <w:lang w:val="en-GB"/>
              </w:rPr>
              <w:t>i</w:t>
            </w:r>
            <w:proofErr w:type="spellEnd"/>
            <w:r w:rsidRPr="00A26C38">
              <w:rPr>
                <w:lang w:val="en-GB"/>
              </w:rPr>
              <w:t xml:space="preserve"> </w:t>
            </w:r>
            <w:hyperlink r:id="rId11" w:history="1">
              <w:r w:rsidRPr="00A26C38">
                <w:rPr>
                  <w:rStyle w:val="Hyperlink"/>
                  <w:lang w:val="en-GB"/>
                </w:rPr>
                <w:t>p</w:t>
              </w:r>
            </w:hyperlink>
            <w:hyperlink r:id="rId12" w:history="1">
              <w:r w:rsidRPr="00A26C38">
                <w:rPr>
                  <w:rStyle w:val="Hyperlink"/>
                </w:rPr>
                <w:t>ieeja</w:t>
              </w:r>
            </w:hyperlink>
            <w:hyperlink r:id="rId13" w:history="1">
              <w:r w:rsidRPr="00A26C38">
                <w:rPr>
                  <w:rStyle w:val="Hyperlink"/>
                  <w:lang w:val="en-GB"/>
                </w:rPr>
                <w:t>mi</w:t>
              </w:r>
            </w:hyperlink>
            <w:hyperlink r:id="rId14" w:history="1">
              <w:r w:rsidRPr="00A26C38">
                <w:rPr>
                  <w:rStyle w:val="Hyperlink"/>
                </w:rPr>
                <w:t xml:space="preserve"> </w:t>
              </w:r>
            </w:hyperlink>
            <w:r w:rsidRPr="00A26C38">
              <w:rPr>
                <w:lang w:val="en-GB"/>
              </w:rPr>
              <w:t>L</w:t>
            </w:r>
            <w:r>
              <w:rPr>
                <w:lang w:val="en-GB"/>
              </w:rPr>
              <w:t xml:space="preserve">abklājības </w:t>
            </w:r>
            <w:proofErr w:type="spellStart"/>
            <w:r>
              <w:rPr>
                <w:lang w:val="en-GB"/>
              </w:rPr>
              <w:t>ministrijas</w:t>
            </w:r>
            <w:proofErr w:type="spellEnd"/>
            <w:r w:rsidRPr="00A26C38">
              <w:rPr>
                <w:lang w:val="en-GB"/>
              </w:rPr>
              <w:t xml:space="preserve"> </w:t>
            </w:r>
            <w:r w:rsidRPr="00A26C38">
              <w:t xml:space="preserve">tīmekļvietnē un </w:t>
            </w:r>
            <w:proofErr w:type="spellStart"/>
            <w:r w:rsidRPr="00A26C38">
              <w:t>Youtube</w:t>
            </w:r>
            <w:proofErr w:type="spellEnd"/>
            <w:r w:rsidRPr="00A26C38">
              <w:t xml:space="preserve"> kanālā</w:t>
            </w:r>
            <w:r w:rsidR="00F04007">
              <w:t>.</w:t>
            </w:r>
          </w:p>
          <w:p w14:paraId="458C76B8" w14:textId="4B0B6BF4" w:rsidR="00A26C38" w:rsidRPr="00F04007" w:rsidRDefault="00A26C38" w:rsidP="00EE6D04">
            <w:pPr>
              <w:spacing w:line="240" w:lineRule="auto"/>
            </w:pPr>
            <w:r>
              <w:rPr>
                <w:b/>
                <w:bCs/>
              </w:rPr>
              <w:t xml:space="preserve"> </w:t>
            </w:r>
            <w:r w:rsidRPr="00F04007">
              <w:t xml:space="preserve">Tāpat 2025.gada 30. oktobrī notika </w:t>
            </w:r>
            <w:hyperlink r:id="rId15" w:history="1">
              <w:r w:rsidRPr="00F04007">
                <w:rPr>
                  <w:rStyle w:val="Hyperlink"/>
                </w:rPr>
                <w:t xml:space="preserve">Konference par pārredzamu darba samaksu </w:t>
              </w:r>
            </w:hyperlink>
            <w:r w:rsidR="00F04007">
              <w:t>.</w:t>
            </w:r>
          </w:p>
          <w:p w14:paraId="38B34B95" w14:textId="77777777" w:rsidR="00A26C38" w:rsidRPr="00A26C38" w:rsidRDefault="00A26C38" w:rsidP="00EE6D04">
            <w:pPr>
              <w:spacing w:line="240" w:lineRule="auto"/>
            </w:pPr>
            <w:r w:rsidRPr="00A26C38">
              <w:t xml:space="preserve">Semināru un konferences videoieraksti pieejami </w:t>
            </w:r>
            <w:hyperlink r:id="rId16" w:history="1">
              <w:r w:rsidRPr="00A26C38">
                <w:rPr>
                  <w:rStyle w:val="Hyperlink"/>
                </w:rPr>
                <w:t xml:space="preserve">Labklājības ministrijas </w:t>
              </w:r>
            </w:hyperlink>
            <w:hyperlink r:id="rId17" w:history="1">
              <w:proofErr w:type="spellStart"/>
              <w:r w:rsidRPr="00A26C38">
                <w:rPr>
                  <w:rStyle w:val="Hyperlink"/>
                </w:rPr>
                <w:t>Youtube</w:t>
              </w:r>
              <w:proofErr w:type="spellEnd"/>
            </w:hyperlink>
            <w:hyperlink r:id="rId18" w:history="1">
              <w:r w:rsidRPr="00A26C38">
                <w:rPr>
                  <w:rStyle w:val="Hyperlink"/>
                </w:rPr>
                <w:t xml:space="preserve"> kanālā</w:t>
              </w:r>
            </w:hyperlink>
            <w:r w:rsidRPr="00A26C38">
              <w:t>.</w:t>
            </w:r>
          </w:p>
          <w:p w14:paraId="0DCF5CFC" w14:textId="45827337" w:rsidR="00424834" w:rsidRPr="00424834" w:rsidRDefault="00424834" w:rsidP="00EE6D04">
            <w:pPr>
              <w:spacing w:line="240" w:lineRule="auto"/>
            </w:pPr>
            <w:r w:rsidRPr="00424834">
              <w:t>Šie pasākumi sniedza gan tiesisko, gan praktisko skatījumu uz taisnīgu amatu vērtēšanu, darba samaksas sistēmu veidošanu un komunikāciju ar darbiniekiem .</w:t>
            </w:r>
          </w:p>
          <w:p w14:paraId="672ED90E" w14:textId="0F34DC9D" w:rsidR="00424834" w:rsidRPr="00424834" w:rsidRDefault="00424834" w:rsidP="00EE6D04">
            <w:pPr>
              <w:spacing w:line="240" w:lineRule="auto"/>
            </w:pPr>
            <w:r w:rsidRPr="00424834">
              <w:t xml:space="preserve">Papildus tiek izstrādātas </w:t>
            </w:r>
            <w:r w:rsidRPr="00BF6357">
              <w:t>praktiskas vadlīnijas darba devējiem,</w:t>
            </w:r>
            <w:r w:rsidRPr="00424834">
              <w:t xml:space="preserve"> kas balstīsies uz Direktīvas  prasībām, Latvijas normatīvo regulējumu, EIGE vadlīnijām un citu valstu labās prakses piemēriem. Vadlīnijas paredzētas kā </w:t>
            </w:r>
            <w:r w:rsidRPr="00BF6357">
              <w:t xml:space="preserve">ne-normatīvs atbalsta </w:t>
            </w:r>
            <w:r w:rsidRPr="00BF6357">
              <w:lastRenderedPageBreak/>
              <w:t>instruments,</w:t>
            </w:r>
            <w:r w:rsidRPr="00424834">
              <w:t xml:space="preserve"> ietverot strukturētu rīcības modeli pārredzamas un </w:t>
            </w:r>
            <w:proofErr w:type="spellStart"/>
            <w:r w:rsidRPr="00424834">
              <w:t>dzimumneitrālas</w:t>
            </w:r>
            <w:proofErr w:type="spellEnd"/>
            <w:r w:rsidRPr="00424834">
              <w:t xml:space="preserve"> darba samaksas sistēmas izveidei, un tiks izmantotas Direktīvas ieviešanas atbalstam ESF+ projekta “Vienlīdzīgu iespēju un </w:t>
            </w:r>
            <w:proofErr w:type="spellStart"/>
            <w:r w:rsidRPr="00424834">
              <w:t>nediskriminācijas</w:t>
            </w:r>
            <w:proofErr w:type="spellEnd"/>
            <w:r w:rsidRPr="00424834">
              <w:t xml:space="preserve"> veicināšana” ietvaros.</w:t>
            </w:r>
          </w:p>
          <w:p w14:paraId="0B49E00E" w14:textId="4315C521" w:rsidR="00424834" w:rsidRDefault="00424834" w:rsidP="00EE6D04">
            <w:pPr>
              <w:spacing w:line="240" w:lineRule="auto"/>
            </w:pPr>
            <w:r w:rsidRPr="00424834">
              <w:t xml:space="preserve">Attiecībā uz administratīvā sloga jautājumu norādāms, ka likumprojekts jau paredz </w:t>
            </w:r>
            <w:r w:rsidRPr="00BF6357">
              <w:t xml:space="preserve">samērīgu un pakāpenisku </w:t>
            </w:r>
            <w:r w:rsidR="00EE6D04" w:rsidRPr="00BF6357">
              <w:t xml:space="preserve">ziņošanas </w:t>
            </w:r>
            <w:r w:rsidRPr="00BF6357">
              <w:t>pienākum</w:t>
            </w:r>
            <w:r w:rsidR="00EE6D04" w:rsidRPr="00BF6357">
              <w:t>a</w:t>
            </w:r>
            <w:r w:rsidRPr="00BF6357">
              <w:t xml:space="preserve"> piemērošanu atkarībā no nodarbināto skaita, kas atbilst</w:t>
            </w:r>
            <w:r w:rsidRPr="00424834">
              <w:t xml:space="preserve"> Direktīvā noteiktajam samērīguma principam</w:t>
            </w:r>
            <w:r w:rsidR="00EE6D04">
              <w:t>.</w:t>
            </w:r>
          </w:p>
          <w:p w14:paraId="58513427" w14:textId="7E44A5FC" w:rsidR="00994168" w:rsidRPr="00BF6357" w:rsidRDefault="00994168" w:rsidP="00994168">
            <w:pPr>
              <w:spacing w:line="240" w:lineRule="auto"/>
            </w:pPr>
            <w:r w:rsidRPr="00994168">
              <w:t xml:space="preserve">Likumprojektā </w:t>
            </w:r>
            <w:r>
              <w:t>“</w:t>
            </w:r>
            <w:r w:rsidRPr="00994168">
              <w:t>korektīvo</w:t>
            </w:r>
            <w:r>
              <w:t>”</w:t>
            </w:r>
            <w:r w:rsidRPr="00994168">
              <w:t xml:space="preserve"> pasākumu pienākums ir noteikts atbilstoši Direktīvas prasībām, kas paredz, ka darba devējam nepamatotas darba samaksas atšķirības gadījumā ir jānovērš konstatētās neatbilstības, pamatojoties uz </w:t>
            </w:r>
            <w:r w:rsidRPr="00BF6357">
              <w:t xml:space="preserve">objektīviem un </w:t>
            </w:r>
            <w:proofErr w:type="spellStart"/>
            <w:r w:rsidRPr="00BF6357">
              <w:t>dzimumneitrāliem</w:t>
            </w:r>
            <w:proofErr w:type="spellEnd"/>
            <w:r w:rsidRPr="00BF6357">
              <w:t xml:space="preserve"> kritērijiem, vienlaikus nenosakot izsmeļošu “objektīva pamatojuma” definīciju.</w:t>
            </w:r>
          </w:p>
          <w:p w14:paraId="3E4A8EBD" w14:textId="167FEC43" w:rsidR="00994168" w:rsidRPr="00BF6357" w:rsidRDefault="005A41AA" w:rsidP="00994168">
            <w:pPr>
              <w:spacing w:line="240" w:lineRule="auto"/>
            </w:pPr>
            <w:r w:rsidRPr="00BF6357">
              <w:lastRenderedPageBreak/>
              <w:t>O</w:t>
            </w:r>
            <w:r w:rsidR="00994168" w:rsidRPr="00BF6357">
              <w:t xml:space="preserve">bjektīva pamatojuma </w:t>
            </w:r>
            <w:proofErr w:type="spellStart"/>
            <w:r w:rsidR="00994168" w:rsidRPr="00BF6357">
              <w:t>izvērtējumam</w:t>
            </w:r>
            <w:proofErr w:type="spellEnd"/>
            <w:r w:rsidR="00994168" w:rsidRPr="00BF6357">
              <w:t xml:space="preserve"> jāpaliek kontekstā balstītam un individuāli vērtējamam, lai netiktu ierobežota darba devēju spēja ņemt vērā organizācijas struktūru, darba organizāciju un konkrēto amatu saturu. Tādēļ detalizēta objektīvā pamatojuma definēšana un korekciju veikšanas mehāniska standartizēšana likum</w:t>
            </w:r>
            <w:r w:rsidRPr="00BF6357">
              <w:t>projekta</w:t>
            </w:r>
            <w:r w:rsidR="00994168" w:rsidRPr="00BF6357">
              <w:t xml:space="preserve"> līmenī nav paredzēta.</w:t>
            </w:r>
          </w:p>
          <w:p w14:paraId="35385988" w14:textId="77777777" w:rsidR="00994168" w:rsidRPr="00424834" w:rsidRDefault="00994168" w:rsidP="00EE6D04">
            <w:pPr>
              <w:spacing w:line="240" w:lineRule="auto"/>
            </w:pPr>
          </w:p>
          <w:p w14:paraId="07518691" w14:textId="77777777" w:rsidR="00075F8E" w:rsidRDefault="00075F8E" w:rsidP="00EE6D04">
            <w:pPr>
              <w:spacing w:line="240" w:lineRule="auto"/>
            </w:pPr>
          </w:p>
        </w:tc>
      </w:tr>
      <w:tr w:rsidR="00075F8E" w14:paraId="4DA8C895" w14:textId="77777777">
        <w:tc>
          <w:tcPr>
            <w:tcW w:w="750" w:type="dxa"/>
            <w:shd w:val="clear" w:color="auto" w:fill="FFFFFF"/>
            <w:noWrap/>
            <w:tcMar>
              <w:top w:w="0" w:type="dxa"/>
              <w:left w:w="0" w:type="dxa"/>
              <w:bottom w:w="0" w:type="dxa"/>
              <w:right w:w="0" w:type="dxa"/>
            </w:tcMar>
            <w:vAlign w:val="center"/>
          </w:tcPr>
          <w:p w14:paraId="7D0C6800" w14:textId="77777777" w:rsidR="00075F8E" w:rsidRDefault="00CE0661">
            <w:pPr>
              <w:spacing w:line="240" w:lineRule="auto"/>
              <w:jc w:val="center"/>
            </w:pPr>
            <w:r>
              <w:lastRenderedPageBreak/>
              <w:t>2.</w:t>
            </w:r>
          </w:p>
        </w:tc>
        <w:tc>
          <w:tcPr>
            <w:tcW w:w="4055" w:type="dxa"/>
            <w:shd w:val="clear" w:color="auto" w:fill="FFFFFF"/>
            <w:noWrap/>
            <w:tcMar>
              <w:top w:w="0" w:type="dxa"/>
              <w:left w:w="0" w:type="dxa"/>
              <w:bottom w:w="0" w:type="dxa"/>
              <w:right w:w="0" w:type="dxa"/>
            </w:tcMar>
            <w:vAlign w:val="center"/>
          </w:tcPr>
          <w:p w14:paraId="5FFEB4CB" w14:textId="77777777" w:rsidR="00075F8E" w:rsidRDefault="00CE0661">
            <w:pPr>
              <w:spacing w:line="240" w:lineRule="auto"/>
              <w:jc w:val="left"/>
            </w:pPr>
            <w:r>
              <w:t>*Fiziska persona</w:t>
            </w:r>
          </w:p>
        </w:tc>
        <w:tc>
          <w:tcPr>
            <w:tcW w:w="4056" w:type="dxa"/>
            <w:shd w:val="clear" w:color="auto" w:fill="FFFFFF"/>
            <w:noWrap/>
            <w:tcMar>
              <w:top w:w="0" w:type="dxa"/>
              <w:left w:w="0" w:type="dxa"/>
              <w:bottom w:w="0" w:type="dxa"/>
              <w:right w:w="0" w:type="dxa"/>
            </w:tcMar>
            <w:vAlign w:val="center"/>
          </w:tcPr>
          <w:p w14:paraId="496AC60F" w14:textId="77777777" w:rsidR="00075F8E" w:rsidRDefault="00CE0661">
            <w:pPr>
              <w:spacing w:line="240" w:lineRule="auto"/>
              <w:jc w:val="left"/>
            </w:pPr>
            <w:r>
              <w:t xml:space="preserve">Likumprojekts "Darba samaksas </w:t>
            </w:r>
            <w:proofErr w:type="spellStart"/>
            <w:r>
              <w:t>pārredzamības</w:t>
            </w:r>
            <w:proofErr w:type="spellEnd"/>
            <w:r>
              <w:t xml:space="preserve"> likums" kopumā, manuprāt, ir atbilstošs Eiropas Parlamenta un Padomes 2023. gada 10.maija direktīvai (ES) 2023/970.</w:t>
            </w:r>
            <w:r>
              <w:br/>
              <w:t>Tomēr, ir pāris lietas, ko vēlētos precizēt, noskaidrot, ierosināt.</w:t>
            </w:r>
            <w:r>
              <w:br/>
              <w:t xml:space="preserve">1) "Darba samaksa" likumprojektā ir domāta kā visas kopējās faktiskās izmaksas darbiniekam, kas iekļauj arī pabalstus (piemēram, bērnu piedzimšana, radinieku nomiršana utt.). Priecātos par praktiskiem piemēriem kā darbiniekiem skaidrot algu atšķirības, ja tās ir radušās tāpēc, ka citi darbinieki dabūjuši pabalstus, bijuši prombūtnēs, vienlaikus nepārkāpjot </w:t>
            </w:r>
            <w:r>
              <w:lastRenderedPageBreak/>
              <w:t>citu personu privātumu.</w:t>
            </w:r>
            <w:r>
              <w:br/>
              <w:t>2) Precizējums - ja darba vietā nevienam amatam nav nozīmīgi atšķirīgi, sliktāki darba apstākļi, vai tas ir pārkāpums, ja amatu novērtēšanā šis aspekts nemaz netiek vērtēts?</w:t>
            </w:r>
            <w:r>
              <w:br/>
              <w:t xml:space="preserve">3) Ierosinu, ka tiktu precizēts par kādu periodu darbiniekam </w:t>
            </w:r>
            <w:proofErr w:type="spellStart"/>
            <w:r>
              <w:t>jānodoršina</w:t>
            </w:r>
            <w:proofErr w:type="spellEnd"/>
            <w:r>
              <w:t xml:space="preserve"> dati un vai vidējos rādītājos jāiekļauj visi darbinieki ar </w:t>
            </w:r>
            <w:proofErr w:type="spellStart"/>
            <w:r>
              <w:t>fakitiski</w:t>
            </w:r>
            <w:proofErr w:type="spellEnd"/>
            <w:r>
              <w:t xml:space="preserve"> nopelnīto arī, ja strādājuši īsu periodu un/vai vairs nestrādā? Iekļaut arī darbiniekus, kas visu periodu ir bijuši prombūtnē ar faktisko atalgojumu 0 EUR?</w:t>
            </w:r>
            <w:r>
              <w:br/>
            </w:r>
          </w:p>
        </w:tc>
        <w:tc>
          <w:tcPr>
            <w:tcW w:w="1650" w:type="dxa"/>
            <w:shd w:val="clear" w:color="auto" w:fill="FFFFFF"/>
            <w:noWrap/>
            <w:tcMar>
              <w:top w:w="0" w:type="dxa"/>
              <w:left w:w="0" w:type="dxa"/>
              <w:bottom w:w="0" w:type="dxa"/>
              <w:right w:w="0" w:type="dxa"/>
            </w:tcMar>
            <w:vAlign w:val="center"/>
          </w:tcPr>
          <w:p w14:paraId="203D0006" w14:textId="6E9AF294" w:rsidR="00075F8E" w:rsidRDefault="00663517">
            <w:pPr>
              <w:spacing w:line="240" w:lineRule="auto"/>
              <w:jc w:val="left"/>
            </w:pPr>
            <w:r>
              <w:lastRenderedPageBreak/>
              <w:t xml:space="preserve">Ņemts vērā </w:t>
            </w:r>
          </w:p>
        </w:tc>
        <w:tc>
          <w:tcPr>
            <w:tcW w:w="4056" w:type="dxa"/>
            <w:shd w:val="clear" w:color="auto" w:fill="FFFFFF"/>
            <w:noWrap/>
            <w:tcMar>
              <w:top w:w="0" w:type="dxa"/>
              <w:left w:w="0" w:type="dxa"/>
              <w:bottom w:w="0" w:type="dxa"/>
              <w:right w:w="0" w:type="dxa"/>
            </w:tcMar>
            <w:vAlign w:val="center"/>
          </w:tcPr>
          <w:p w14:paraId="4BD6444F" w14:textId="77777777" w:rsidR="00533268" w:rsidRDefault="00663517" w:rsidP="00C55BE7">
            <w:pPr>
              <w:spacing w:line="240" w:lineRule="auto"/>
            </w:pPr>
            <w:r w:rsidRPr="00663517">
              <w:t>Darba samaksas jēdziens likumprojektā atbilst Direktīvai un aptver visu</w:t>
            </w:r>
            <w:r w:rsidR="00C55BE7" w:rsidRPr="00C55BE7">
              <w:rPr>
                <w:color w:val="auto"/>
                <w:sz w:val="24"/>
                <w:szCs w:val="24"/>
              </w:rPr>
              <w:t xml:space="preserve"> </w:t>
            </w:r>
            <w:r w:rsidR="00C55BE7" w:rsidRPr="00C55BE7">
              <w:t>veid</w:t>
            </w:r>
            <w:r w:rsidR="00C55BE7">
              <w:t>u</w:t>
            </w:r>
            <w:r w:rsidR="00C55BE7" w:rsidRPr="00C55BE7">
              <w:t xml:space="preserve"> atlīdzību saistībā ar darbu</w:t>
            </w:r>
            <w:r w:rsidRPr="00663517">
              <w:t xml:space="preserve">, tomēr tas nenosaka pienākumu </w:t>
            </w:r>
            <w:r w:rsidR="00533268">
              <w:t>nodarbinātajiem</w:t>
            </w:r>
            <w:r w:rsidRPr="00663517">
              <w:t xml:space="preserve"> atklāt individuālus, identificējošus datus par citu personu pabalstiem vai prombūtnēm. </w:t>
            </w:r>
          </w:p>
          <w:p w14:paraId="0163DC4D" w14:textId="5B0C817D" w:rsidR="00075F8E" w:rsidRDefault="00663517" w:rsidP="00C55BE7">
            <w:pPr>
              <w:spacing w:line="240" w:lineRule="auto"/>
            </w:pPr>
            <w:r w:rsidRPr="00663517">
              <w:t xml:space="preserve">Informācija </w:t>
            </w:r>
            <w:r w:rsidR="00533268">
              <w:t>nodarbinātajiem</w:t>
            </w:r>
            <w:r w:rsidRPr="00663517">
              <w:t xml:space="preserve"> sniedzama, nodrošinot personas datu aizsardzību</w:t>
            </w:r>
            <w:r w:rsidR="00C55BE7">
              <w:t xml:space="preserve">. </w:t>
            </w:r>
            <w:r w:rsidR="000A4AD7">
              <w:t>Tā l</w:t>
            </w:r>
            <w:r w:rsidR="000A4AD7" w:rsidRPr="000A4AD7">
              <w:t>ikumprojekta 4.pantā regulēti personas datu apstrādes jautājumi, paredzot, ka informāciju, kas sniedzama saskaņā ar šā liku</w:t>
            </w:r>
            <w:r w:rsidR="00323BAF">
              <w:t>mprojekta</w:t>
            </w:r>
            <w:r w:rsidR="000A4AD7" w:rsidRPr="000A4AD7">
              <w:t xml:space="preserve"> 8., 10. un 11. pantu īstenoto pasākumu ietvaros, ciktāl šajā informācijā ir ietverta personas datu apstrāde, sniedz </w:t>
            </w:r>
            <w:r w:rsidR="000A4AD7" w:rsidRPr="000A4AD7">
              <w:lastRenderedPageBreak/>
              <w:t>saskaņā ar Eiropas Parlamenta un Padomes 2016. gada 27. aprīļa regulu (ES) 2016/679 par fizisku personu aizsardzību attiecībā uz personu datu apstrādi un šādu datu brīvu apriti un ar ko atceļ direktīvu 95/46/EK (Vispārīgā datu aizsardzības regula) (turpmāk – Regula (ES) 2016/679).</w:t>
            </w:r>
          </w:p>
          <w:p w14:paraId="02A83D1E" w14:textId="77777777" w:rsidR="0053355C" w:rsidRDefault="0053355C" w:rsidP="00C55BE7">
            <w:pPr>
              <w:spacing w:line="240" w:lineRule="auto"/>
            </w:pPr>
          </w:p>
          <w:p w14:paraId="18DC6B71" w14:textId="77777777" w:rsidR="0053355C" w:rsidRPr="009535A7" w:rsidRDefault="0053355C" w:rsidP="0053355C">
            <w:pPr>
              <w:spacing w:line="240" w:lineRule="auto"/>
            </w:pPr>
            <w:r w:rsidRPr="009535A7">
              <w:t xml:space="preserve">Darba apstākļu kritērija neizmantošana kā diferencējoša faktora amatu novērtēšanā nav uzskatāma par pārkāpumu, ja, veicot objektīvu </w:t>
            </w:r>
            <w:proofErr w:type="spellStart"/>
            <w:r w:rsidRPr="009535A7">
              <w:t>izvērtējumu</w:t>
            </w:r>
            <w:proofErr w:type="spellEnd"/>
            <w:r w:rsidRPr="009535A7">
              <w:t>, tiek konstatēts, ka konkrētajā organizācijā attiecīgo amatu darba apstākļi neatšķiras vai atšķirības nav būtiskas darba vērtības noteikšanai.</w:t>
            </w:r>
          </w:p>
          <w:p w14:paraId="5B127ADB" w14:textId="4D69C49E" w:rsidR="0053355C" w:rsidRDefault="00943E79" w:rsidP="0053355C">
            <w:pPr>
              <w:spacing w:line="240" w:lineRule="auto"/>
            </w:pPr>
            <w:r w:rsidRPr="009535A7">
              <w:t xml:space="preserve">Eiropas Savienības  mēroga </w:t>
            </w:r>
            <w:proofErr w:type="spellStart"/>
            <w:r w:rsidRPr="009535A7">
              <w:t>dzimumneitrālas</w:t>
            </w:r>
            <w:proofErr w:type="spellEnd"/>
            <w:r w:rsidRPr="009535A7">
              <w:t xml:space="preserve"> amatu novērtēšanas un klasifikācijas vadlīnijas</w:t>
            </w:r>
            <w:r w:rsidRPr="00943E79">
              <w:t xml:space="preserve"> </w:t>
            </w:r>
            <w:hyperlink r:id="rId19" w:history="1">
              <w:r w:rsidRPr="00943E79">
                <w:rPr>
                  <w:rStyle w:val="Hyperlink"/>
                  <w:b/>
                  <w:bCs/>
                </w:rPr>
                <w:t>https://eige.europa.eu/gender-mainstreaming/toolkits/gender-neutral-job-evaluation</w:t>
              </w:r>
            </w:hyperlink>
            <w:r>
              <w:rPr>
                <w:b/>
                <w:bCs/>
              </w:rPr>
              <w:t xml:space="preserve"> </w:t>
            </w:r>
            <w:r w:rsidR="0053355C" w:rsidRPr="0053355C">
              <w:t xml:space="preserve">paredz, ka amatu salīdzināšanā tiek izmantoti tikai tie kritēriji, kuri ir faktiski </w:t>
            </w:r>
            <w:r w:rsidR="0053355C" w:rsidRPr="0053355C">
              <w:lastRenderedPageBreak/>
              <w:t>nozīmīgi konkrēto darbu salīdzināšanai, un neparedz pienākumu formāli piemērot visus kritērijus, ja tie konkrētajā situācijā nav piemērojami vai neietekmē salīdzinājuma rezultātu.</w:t>
            </w:r>
          </w:p>
          <w:p w14:paraId="6DA8D071" w14:textId="0051603D" w:rsidR="00943E79" w:rsidRDefault="00943E79" w:rsidP="0053355C">
            <w:pPr>
              <w:spacing w:line="240" w:lineRule="auto"/>
            </w:pPr>
          </w:p>
          <w:p w14:paraId="757C4081" w14:textId="56D39E09" w:rsidR="00D207CD" w:rsidRPr="00D207CD" w:rsidRDefault="00D207CD" w:rsidP="00D207CD">
            <w:pPr>
              <w:spacing w:line="240" w:lineRule="auto"/>
            </w:pPr>
            <w:r w:rsidRPr="00D207CD">
              <w:t xml:space="preserve">Direktīvas  7. pants paredz </w:t>
            </w:r>
            <w:r w:rsidR="00323BAF">
              <w:t>nodarbināto</w:t>
            </w:r>
            <w:r w:rsidRPr="00D207CD">
              <w:t xml:space="preserve"> tiesības saņemt informāciju par </w:t>
            </w:r>
            <w:r>
              <w:t xml:space="preserve">vidējiem </w:t>
            </w:r>
            <w:r w:rsidRPr="00D207CD">
              <w:t xml:space="preserve">darba samaksas līmeņiem salīdzināmām nodarbināto kategorijām, </w:t>
            </w:r>
            <w:r w:rsidRPr="00246CDC">
              <w:t>nenosakot vienotu, obligātu pārskata periodu vai izsmeļošu salīdzināmo personu loku</w:t>
            </w:r>
            <w:r w:rsidRPr="00D207CD">
              <w:t>. Likumprojekta 8. pants šo pieeju pārņem, saglabājot elastību dažādām nodarbinātības situācijām un darba organizācijas modeļiem</w:t>
            </w:r>
            <w:r>
              <w:t>.</w:t>
            </w:r>
          </w:p>
          <w:p w14:paraId="3AC37E0E" w14:textId="5ED0FA7D" w:rsidR="00D207CD" w:rsidRPr="00D207CD" w:rsidRDefault="00D207CD" w:rsidP="00D207CD">
            <w:pPr>
              <w:spacing w:line="240" w:lineRule="auto"/>
            </w:pPr>
            <w:r w:rsidRPr="00246CDC">
              <w:t>Informācijai jābūt aktuālai</w:t>
            </w:r>
            <w:r w:rsidR="0079559C" w:rsidRPr="00246CDC">
              <w:t xml:space="preserve"> </w:t>
            </w:r>
            <w:r w:rsidRPr="00246CDC">
              <w:t>un piemērotai konkrētā pieprasījuma mērķim,</w:t>
            </w:r>
            <w:r w:rsidRPr="00D207CD">
              <w:t xml:space="preserve"> bet dalībvalstīm nav pienākuma normatīvajā regulējumā noteikt vienotu aprēķina periodu vai prasīt iekļaut personas, kuru faktiskais atalgojums attiecīgajā periodā ir nulle (piemēram, ilgstošas prombūtnes gadījumā).</w:t>
            </w:r>
          </w:p>
          <w:p w14:paraId="78C7AAAF" w14:textId="6728DDF0" w:rsidR="00D207CD" w:rsidRPr="00D207CD" w:rsidRDefault="00D207CD" w:rsidP="00D207CD">
            <w:pPr>
              <w:spacing w:line="240" w:lineRule="auto"/>
            </w:pPr>
            <w:r w:rsidRPr="00D207CD">
              <w:lastRenderedPageBreak/>
              <w:t>Vienlaikus darba devējam, sniedzot informāciju saskaņā ar</w:t>
            </w:r>
            <w:r w:rsidR="0079559C">
              <w:t xml:space="preserve"> likumprojekta </w:t>
            </w:r>
            <w:r w:rsidRPr="00D207CD">
              <w:t xml:space="preserve">8. pantu, </w:t>
            </w:r>
            <w:r w:rsidRPr="005231A4">
              <w:t>jāizmanto vienoti un konsekventi kritēriji, izvēloties saprātīgu pārskata</w:t>
            </w:r>
            <w:r w:rsidRPr="00D207CD">
              <w:t xml:space="preserve"> periodu un salīdzināmo nodarbināto loku tā, lai sniegtā informācija būtu objektīva, salīdzināma un nekropļotu darba samaksas atšķirību </w:t>
            </w:r>
            <w:proofErr w:type="spellStart"/>
            <w:r w:rsidRPr="00D207CD">
              <w:t>izvērtējumu</w:t>
            </w:r>
            <w:proofErr w:type="spellEnd"/>
            <w:r w:rsidRPr="00D207CD">
              <w:t>.</w:t>
            </w:r>
          </w:p>
          <w:p w14:paraId="4CE5A7E7" w14:textId="77777777" w:rsidR="00943E79" w:rsidRPr="0053355C" w:rsidRDefault="00943E79" w:rsidP="0053355C">
            <w:pPr>
              <w:spacing w:line="240" w:lineRule="auto"/>
            </w:pPr>
          </w:p>
          <w:p w14:paraId="5F36A019" w14:textId="6F0735CF" w:rsidR="0053355C" w:rsidRDefault="0053355C" w:rsidP="00C55BE7">
            <w:pPr>
              <w:spacing w:line="240" w:lineRule="auto"/>
            </w:pPr>
          </w:p>
        </w:tc>
      </w:tr>
      <w:tr w:rsidR="00075F8E" w:rsidRPr="00D2279A" w14:paraId="64602176" w14:textId="77777777">
        <w:tc>
          <w:tcPr>
            <w:tcW w:w="750" w:type="dxa"/>
            <w:shd w:val="clear" w:color="auto" w:fill="FFFFFF"/>
            <w:noWrap/>
            <w:tcMar>
              <w:top w:w="0" w:type="dxa"/>
              <w:left w:w="0" w:type="dxa"/>
              <w:bottom w:w="0" w:type="dxa"/>
              <w:right w:w="0" w:type="dxa"/>
            </w:tcMar>
            <w:vAlign w:val="center"/>
          </w:tcPr>
          <w:p w14:paraId="5F23CC60" w14:textId="77777777" w:rsidR="00075F8E" w:rsidRDefault="00CE0661">
            <w:pPr>
              <w:spacing w:line="240" w:lineRule="auto"/>
              <w:jc w:val="center"/>
            </w:pPr>
            <w:r>
              <w:lastRenderedPageBreak/>
              <w:t>3.</w:t>
            </w:r>
          </w:p>
        </w:tc>
        <w:tc>
          <w:tcPr>
            <w:tcW w:w="4055" w:type="dxa"/>
            <w:shd w:val="clear" w:color="auto" w:fill="FFFFFF"/>
            <w:noWrap/>
            <w:tcMar>
              <w:top w:w="0" w:type="dxa"/>
              <w:left w:w="0" w:type="dxa"/>
              <w:bottom w:w="0" w:type="dxa"/>
              <w:right w:w="0" w:type="dxa"/>
            </w:tcMar>
            <w:vAlign w:val="center"/>
          </w:tcPr>
          <w:p w14:paraId="7B646D51" w14:textId="77777777" w:rsidR="00075F8E" w:rsidRDefault="00CE0661">
            <w:pPr>
              <w:spacing w:line="240" w:lineRule="auto"/>
              <w:jc w:val="left"/>
            </w:pPr>
            <w:r>
              <w:t>Darba tiesību speciālists, Edgars Riņķis</w:t>
            </w:r>
          </w:p>
        </w:tc>
        <w:tc>
          <w:tcPr>
            <w:tcW w:w="4056" w:type="dxa"/>
            <w:shd w:val="clear" w:color="auto" w:fill="FFFFFF"/>
            <w:noWrap/>
            <w:tcMar>
              <w:top w:w="0" w:type="dxa"/>
              <w:left w:w="0" w:type="dxa"/>
              <w:bottom w:w="0" w:type="dxa"/>
              <w:right w:w="0" w:type="dxa"/>
            </w:tcMar>
            <w:vAlign w:val="center"/>
          </w:tcPr>
          <w:p w14:paraId="56C2B296" w14:textId="77777777" w:rsidR="00075F8E" w:rsidRDefault="00CE0661">
            <w:pPr>
              <w:spacing w:line="240" w:lineRule="auto"/>
              <w:jc w:val="left"/>
            </w:pPr>
            <w:r>
              <w:t xml:space="preserve">Likumprojekts "Darba samaksas </w:t>
            </w:r>
            <w:proofErr w:type="spellStart"/>
            <w:r>
              <w:t>pārredzamības</w:t>
            </w:r>
            <w:proofErr w:type="spellEnd"/>
            <w:r>
              <w:t xml:space="preserve"> likums" (Likumprojekts) no Direktīvas 2023/970 (Direktīva) būtu jāpārņem pēc iespējas precīzāk, lai novērstu juridiskas interpretācijas, kas var veidoties likumu piemērojot, un veicinātu tiesisko noteiktību. Tajā pašā laikā, likumam ir jāspēj sabalansēt gan darbinieku, gan darba devēju intereses. Primāri būtu jāsasniedz Direktīvā noteiktais mērķis vienlīdzīgas samaksas nodrošināšanā, vienlaikus pēc iespējas mazāk iejaucoties darba </w:t>
            </w:r>
            <w:r>
              <w:lastRenderedPageBreak/>
              <w:t xml:space="preserve">devēju rīcības brīvībā. Šāda pieeja kopumā ir atspoguļota likumprojektā, taču atsevišķus punktus būtu ieteicams precizēt, lai novērstu juridiskus </w:t>
            </w:r>
            <w:proofErr w:type="spellStart"/>
            <w:r>
              <w:t>problēmjautājumus</w:t>
            </w:r>
            <w:proofErr w:type="spellEnd"/>
            <w:r>
              <w:t>. Papildus, būtu jāvērtē, vai Likumprojekts nenosaka darba devējiem pārlieku administratīvo slogu un tas nebūtu jāmazina, protams, saglabājot tādu darbinieku aizsardzības līmeni un tiesības kādas paredzētas Direktīvā.</w:t>
            </w:r>
            <w:r>
              <w:br/>
            </w:r>
            <w:r>
              <w:br/>
            </w:r>
            <w:r>
              <w:rPr>
                <w:b/>
              </w:rPr>
              <w:t>Likumprojekta 1.pants - definīcijas</w:t>
            </w:r>
            <w:r>
              <w:br/>
              <w:t xml:space="preserve">Nav definēts "vienāds darbs", taču vienādas vērtības darba definīcija ir noteikta. Būtu jāvērtē vai Likumprojekts nebūtu jāpapildina ar "vienāda darba" definīciju, piemēram, līdzīgi, kā tas ir darīts Lietuvas samaksas </w:t>
            </w:r>
            <w:proofErr w:type="spellStart"/>
            <w:r>
              <w:t>pārredzamības</w:t>
            </w:r>
            <w:proofErr w:type="spellEnd"/>
            <w:r>
              <w:t xml:space="preserve"> likumprojektā.</w:t>
            </w:r>
            <w:r>
              <w:br/>
              <w:t xml:space="preserve">Nav definēts "nodarbinātais". Likumprojektā ir ieviests Latvijas nodarbinātības normatīvajam regulējumam jauns jēdziens "nodarbinātais", taču definīcija nav </w:t>
            </w:r>
            <w:r>
              <w:lastRenderedPageBreak/>
              <w:t>sniegta. Atbilstoši Likumprojekta 2.panta otrajai daļai, par nodarbināto uzskata jebkuru personu neatkarīgi no tās tiesiskā statusa, ja pret atlīdzību darba devēja vadībā veic noteiktu darbu.</w:t>
            </w:r>
            <w:r>
              <w:br/>
              <w:t>Vienlaikus, nepieciešams precizēt, vai nodarbinātā jēdziens attiecināms uz valdes locekļiem, autoratlīdzība saņēmējiem, personām, kuras sniedz pakalpojumus atbilstoši uzņēmuma līgumam, jo Likumprojekta anotācijā norādīts, ka likums attieksies uz plašu nodarbināto loku, "[..] ne tikai uz personām, kuras darbu veic pamatojoties uz darba līgumu, un Latvijas normatīvo aktu izpratnē ir uzskatāmas par “darbiniekiem”, bet arī uz jebkuru personu, kura citas personas vadībā pret atlīdzību veic noteiktu darbu, kā arī pretendentiem."</w:t>
            </w:r>
            <w:r>
              <w:br/>
              <w:t xml:space="preserve">Nav definēts "darba devējs". Likumprojektā nav noteikts, kā interpretējams darba devēja jēdziens. Ja piemērojama Darba </w:t>
            </w:r>
            <w:r>
              <w:lastRenderedPageBreak/>
              <w:t>likuma jēdzieniskā izpratne, tad to būtu nepieciešams norādīt līdzīgi, kā Likumprojekta 1.panta 13) punktā.</w:t>
            </w:r>
            <w:r>
              <w:br/>
              <w:t>Nav saprotams, kādēļ jādublē jēdzieni, kas jau ir iekļauti Darba likumā. Piemēram, tieša, netieša diskriminācija, personas aizskaršana.</w:t>
            </w:r>
            <w:r>
              <w:br/>
            </w:r>
            <w:r>
              <w:br/>
            </w:r>
            <w:r>
              <w:rPr>
                <w:b/>
              </w:rPr>
              <w:t>Likumprojekta 3.pants - kritēriji samaksas noteikšanai</w:t>
            </w:r>
            <w:r>
              <w:br/>
              <w:t>Likumprojekta trešajā daļā noteikts, ka darba devējiem ir jānodrošina vispārīgo prasmju pienācīgs novērtējums. Šobrīd nav saprotams, kā būtu jāveic šis prasmju novērtējums. Šāda prasība nav iekļauta arī Direktīvā.</w:t>
            </w:r>
            <w:r>
              <w:br/>
              <w:t>Direktīvā noteikts, ka darba devēji nodrošina, ka "jo īpaši netiek pārāk zemu novērtētas attiecīgās vispārīgās prasmes", taču šāda prasība ir vispārīga, neprasot atsevišķu novērtējumu.</w:t>
            </w:r>
            <w:r>
              <w:br/>
              <w:t>Tādējādi, būtu jāapsver Likumprojekta grozīšana, nosakot, ka:</w:t>
            </w:r>
            <w:r>
              <w:br/>
            </w:r>
            <w:r>
              <w:lastRenderedPageBreak/>
              <w:t>"(3) Šā panta otrajā daļa minētie kritēriji nedrīkst būt tieši vai netieši balstīti uz nodarbināto dzimumu un tie ietver  prasmes, piepūli, atbildību un darba apstākļus, un citus faktorus, kas konkrētajam darbam vai amatam attiecīgajā gadījumā ir būtiski,</w:t>
            </w:r>
            <w:r>
              <w:rPr>
                <w:u w:val="single"/>
              </w:rPr>
              <w:t xml:space="preserve"> tajā skaitā nodrošina, ka netiek pārāk zemu novērtētas attiecīgās vispārīgās prasmes</w:t>
            </w:r>
            <w:r>
              <w:t>."</w:t>
            </w:r>
            <w:r>
              <w:br/>
            </w:r>
            <w:r>
              <w:br/>
            </w:r>
            <w:r>
              <w:rPr>
                <w:b/>
              </w:rPr>
              <w:t>Likumprojekta 6.pants - informācija sludinājumos</w:t>
            </w:r>
            <w:r>
              <w:br/>
              <w:t>Pantā šobrīd noteikts, ka sludinājumā jānorāda "attiecīgā darba (amata) sākotnējās darba samaksas  kopējās mēneša vai gada summas bruto vai paredzēto stundas tarifa likmes samaksas amplitūdu [..]".</w:t>
            </w:r>
            <w:r>
              <w:br/>
              <w:t xml:space="preserve">Atbilstoši 1.panta 1.punktam, par darba samaksu tiek uzskatīti visi maksājumi saistībā ar darbu. Tādējādi, šobrīd Likumprojektā noteikts, ka sludinājumā ir jānorāda visa atlīdzība (tajā skaitā piemaksas, prēmijas un citi </w:t>
            </w:r>
            <w:r>
              <w:lastRenderedPageBreak/>
              <w:t>labumi), kas pienākas darbiniekiem.</w:t>
            </w:r>
            <w:r>
              <w:br/>
              <w:t>Visas atlīdzības norādīšana sludinājumā ne tikai varētu būt uzskatāma par pārmērīgu prasību, jo darba devējiem ir publiski jāatklāj savas piemaksu, prēmiju struktūras, bet tas varētu radīt arī neskaidrības darbiniekiem. Proti, ja gada samaksas apmērā ir iekļautas arī piemaksas un prēmijas, tad darbiniekam varētu nebūt skaidri saprotama informācija par pamatalgas (regulāri izmaksājamās atlīdzības) apmēru.</w:t>
            </w:r>
            <w:r>
              <w:br/>
              <w:t xml:space="preserve">Direktīvā noteikts, ka šādu "informāciju sniedz tādā veidā, lai nodrošinātu informētas un pārredzamas sarunas par darba samaksu, piemēram, publicētajā paziņojumā par vakanci, pirms darba intervijas vai citādi." Tādējādi, Direktīva pieļauj informācijas sniegšanu ne tikai sludinājumā, bet arī pirms intervijas vai citādi. Līdz ar to, Direktīvas prasības šobrīd Likumprojektā ir pārņemtas stingrāk, nekā to nosaka </w:t>
            </w:r>
            <w:r>
              <w:lastRenderedPageBreak/>
              <w:t>Direktīva.</w:t>
            </w:r>
            <w:r>
              <w:br/>
              <w:t xml:space="preserve">Ņemot vērā līdzšinējo Darba likuma regulējumu, kas darba devējiem nosaka pienākumu publicēt darba algu sludinājumos, kā arī apsvērumu, ka Direktīva nenosaka, ka viss samaksas apmērs jānosaka sludinājumā, būtu jāapsver Likumprojekta 6.panta grozīšana, nosakot, ka darba devējam ir pienākums nodrošināt informāciju par piemaksām, prēmijām un citiem labumiem, </w:t>
            </w:r>
            <w:r>
              <w:rPr>
                <w:u w:val="single"/>
              </w:rPr>
              <w:t>taču tas nav jāpublicē sludinājumā</w:t>
            </w:r>
            <w:r>
              <w:t>.</w:t>
            </w:r>
            <w:r>
              <w:br/>
            </w:r>
            <w:r>
              <w:br/>
            </w:r>
            <w:r>
              <w:rPr>
                <w:b/>
              </w:rPr>
              <w:t>Likumprojekta 7.pants - darbinieku informēšana</w:t>
            </w:r>
            <w:r>
              <w:br/>
              <w:t>Likumprojekta 7.panta otrajā daļā noteikts, ka darba devēji, kuri nodarbina mazāk par 50 nodarbinātajiem var brīvprātīgi sniegt informāciju par darba samaksas attīstību. Šāds izņēmums šobrīd nav noteikts attiecībā uz kritērijiem, kas izmantoti, lai noteiktu samaksu un samaksas līmeņus (7.panta pirmā daļa).</w:t>
            </w:r>
            <w:r>
              <w:br/>
              <w:t xml:space="preserve">Direktīvas 6.panta 2.punktā </w:t>
            </w:r>
            <w:r>
              <w:lastRenderedPageBreak/>
              <w:t>patiešām ir neskaidri pateikts, vai atbrīvojums var tikt piemērots tikai attiecībā uz samaksas attīstības informāciju vai arī uz informāciju par samaksas kritērijiem. Taču, kā redzams no Direktīvas skaidrojuma (pieejams - IMMC.COM%282021%2993%20final.ENG.xhtml.1_EN_ACT_part1_v8.docx), tad atbrīvojumu piemēro gan attiecībā uz samaksas attīstības, gan kritēriju informāciju: "</w:t>
            </w:r>
            <w:proofErr w:type="spellStart"/>
            <w:r>
              <w:t>In</w:t>
            </w:r>
            <w:proofErr w:type="spellEnd"/>
            <w:r>
              <w:t xml:space="preserve"> </w:t>
            </w:r>
            <w:proofErr w:type="spellStart"/>
            <w:r>
              <w:t>order</w:t>
            </w:r>
            <w:proofErr w:type="spellEnd"/>
            <w:r>
              <w:t xml:space="preserve"> to </w:t>
            </w:r>
            <w:proofErr w:type="spellStart"/>
            <w:r>
              <w:t>ensure</w:t>
            </w:r>
            <w:proofErr w:type="spellEnd"/>
            <w:r>
              <w:t xml:space="preserve"> </w:t>
            </w:r>
            <w:proofErr w:type="spellStart"/>
            <w:r>
              <w:t>the</w:t>
            </w:r>
            <w:proofErr w:type="spellEnd"/>
            <w:r>
              <w:t xml:space="preserve"> </w:t>
            </w:r>
            <w:proofErr w:type="spellStart"/>
            <w:r>
              <w:t>gender-neutrality</w:t>
            </w:r>
            <w:proofErr w:type="spellEnd"/>
            <w:r>
              <w:t xml:space="preserve"> </w:t>
            </w:r>
            <w:proofErr w:type="spellStart"/>
            <w:r>
              <w:t>of</w:t>
            </w:r>
            <w:proofErr w:type="spellEnd"/>
            <w:r>
              <w:t xml:space="preserve"> </w:t>
            </w:r>
            <w:proofErr w:type="spellStart"/>
            <w:r>
              <w:t>pay</w:t>
            </w:r>
            <w:proofErr w:type="spellEnd"/>
            <w:r>
              <w:t xml:space="preserve"> </w:t>
            </w:r>
            <w:proofErr w:type="spellStart"/>
            <w:r>
              <w:t>setting</w:t>
            </w:r>
            <w:proofErr w:type="spellEnd"/>
            <w:r>
              <w:t xml:space="preserve"> </w:t>
            </w:r>
            <w:proofErr w:type="spellStart"/>
            <w:r>
              <w:t>and</w:t>
            </w:r>
            <w:proofErr w:type="spellEnd"/>
            <w:r>
              <w:t xml:space="preserve"> </w:t>
            </w:r>
            <w:proofErr w:type="spellStart"/>
            <w:r>
              <w:t>career</w:t>
            </w:r>
            <w:proofErr w:type="spellEnd"/>
            <w:r>
              <w:t xml:space="preserve"> </w:t>
            </w:r>
            <w:proofErr w:type="spellStart"/>
            <w:r>
              <w:t>progression</w:t>
            </w:r>
            <w:proofErr w:type="spellEnd"/>
            <w:r>
              <w:t xml:space="preserve">, </w:t>
            </w:r>
            <w:proofErr w:type="spellStart"/>
            <w:r>
              <w:t>this</w:t>
            </w:r>
            <w:proofErr w:type="spellEnd"/>
            <w:r>
              <w:t xml:space="preserve"> </w:t>
            </w:r>
            <w:proofErr w:type="spellStart"/>
            <w:r>
              <w:t>provision</w:t>
            </w:r>
            <w:proofErr w:type="spellEnd"/>
            <w:r>
              <w:t xml:space="preserve"> </w:t>
            </w:r>
            <w:proofErr w:type="spellStart"/>
            <w:r>
              <w:t>requires</w:t>
            </w:r>
            <w:proofErr w:type="spellEnd"/>
            <w:r>
              <w:t xml:space="preserve"> </w:t>
            </w:r>
            <w:proofErr w:type="spellStart"/>
            <w:r>
              <w:t>employers</w:t>
            </w:r>
            <w:proofErr w:type="spellEnd"/>
            <w:r>
              <w:t xml:space="preserve"> to </w:t>
            </w:r>
            <w:proofErr w:type="spellStart"/>
            <w:r>
              <w:t>make</w:t>
            </w:r>
            <w:proofErr w:type="spellEnd"/>
            <w:r>
              <w:t xml:space="preserve"> </w:t>
            </w:r>
            <w:proofErr w:type="spellStart"/>
            <w:r>
              <w:t>accessible</w:t>
            </w:r>
            <w:proofErr w:type="spellEnd"/>
            <w:r>
              <w:t xml:space="preserve"> to </w:t>
            </w:r>
            <w:proofErr w:type="spellStart"/>
            <w:r>
              <w:t>workers</w:t>
            </w:r>
            <w:proofErr w:type="spellEnd"/>
            <w:r>
              <w:t xml:space="preserve"> a </w:t>
            </w:r>
            <w:proofErr w:type="spellStart"/>
            <w:r>
              <w:t>description</w:t>
            </w:r>
            <w:proofErr w:type="spellEnd"/>
            <w:r>
              <w:t xml:space="preserve"> </w:t>
            </w:r>
            <w:proofErr w:type="spellStart"/>
            <w:r>
              <w:t>of</w:t>
            </w:r>
            <w:proofErr w:type="spellEnd"/>
            <w:r>
              <w:t xml:space="preserve"> </w:t>
            </w:r>
            <w:proofErr w:type="spellStart"/>
            <w:r>
              <w:t>the</w:t>
            </w:r>
            <w:proofErr w:type="spellEnd"/>
            <w:r>
              <w:t xml:space="preserve"> </w:t>
            </w:r>
            <w:proofErr w:type="spellStart"/>
            <w:r>
              <w:t>gender-neutral</w:t>
            </w:r>
            <w:proofErr w:type="spellEnd"/>
            <w:r>
              <w:t xml:space="preserve"> </w:t>
            </w:r>
            <w:proofErr w:type="spellStart"/>
            <w:r>
              <w:t>criteria</w:t>
            </w:r>
            <w:proofErr w:type="spellEnd"/>
            <w:r>
              <w:t xml:space="preserve"> </w:t>
            </w:r>
            <w:proofErr w:type="spellStart"/>
            <w:r>
              <w:t>used</w:t>
            </w:r>
            <w:proofErr w:type="spellEnd"/>
            <w:r>
              <w:t xml:space="preserve"> to </w:t>
            </w:r>
            <w:proofErr w:type="spellStart"/>
            <w:r>
              <w:t>define</w:t>
            </w:r>
            <w:proofErr w:type="spellEnd"/>
            <w:r>
              <w:t xml:space="preserve"> </w:t>
            </w:r>
            <w:proofErr w:type="spellStart"/>
            <w:r>
              <w:t>their</w:t>
            </w:r>
            <w:proofErr w:type="spellEnd"/>
            <w:r>
              <w:t xml:space="preserve"> </w:t>
            </w:r>
            <w:proofErr w:type="spellStart"/>
            <w:r>
              <w:t>pay</w:t>
            </w:r>
            <w:proofErr w:type="spellEnd"/>
            <w:r>
              <w:t xml:space="preserve"> </w:t>
            </w:r>
            <w:proofErr w:type="spellStart"/>
            <w:r>
              <w:t>and</w:t>
            </w:r>
            <w:proofErr w:type="spellEnd"/>
            <w:r>
              <w:t xml:space="preserve"> </w:t>
            </w:r>
            <w:proofErr w:type="spellStart"/>
            <w:r>
              <w:t>career</w:t>
            </w:r>
            <w:proofErr w:type="spellEnd"/>
            <w:r>
              <w:t xml:space="preserve"> </w:t>
            </w:r>
            <w:proofErr w:type="spellStart"/>
            <w:r>
              <w:t>progression</w:t>
            </w:r>
            <w:proofErr w:type="spellEnd"/>
            <w:r>
              <w:t xml:space="preserve">. </w:t>
            </w:r>
            <w:proofErr w:type="spellStart"/>
            <w:r>
              <w:t>Where</w:t>
            </w:r>
            <w:proofErr w:type="spellEnd"/>
            <w:r>
              <w:t xml:space="preserve"> </w:t>
            </w:r>
            <w:proofErr w:type="spellStart"/>
            <w:r>
              <w:t>appropriate</w:t>
            </w:r>
            <w:proofErr w:type="spellEnd"/>
            <w:r>
              <w:t xml:space="preserve">, to </w:t>
            </w:r>
            <w:proofErr w:type="spellStart"/>
            <w:r>
              <w:t>avoid</w:t>
            </w:r>
            <w:proofErr w:type="spellEnd"/>
            <w:r>
              <w:t xml:space="preserve"> </w:t>
            </w:r>
            <w:proofErr w:type="spellStart"/>
            <w:r>
              <w:t>unreasonable</w:t>
            </w:r>
            <w:proofErr w:type="spellEnd"/>
            <w:r>
              <w:t xml:space="preserve"> </w:t>
            </w:r>
            <w:proofErr w:type="spellStart"/>
            <w:r>
              <w:t>burden</w:t>
            </w:r>
            <w:proofErr w:type="spellEnd"/>
            <w:r>
              <w:t xml:space="preserve"> </w:t>
            </w:r>
            <w:proofErr w:type="spellStart"/>
            <w:r>
              <w:t>on</w:t>
            </w:r>
            <w:proofErr w:type="spellEnd"/>
            <w:r>
              <w:t xml:space="preserve"> </w:t>
            </w:r>
            <w:proofErr w:type="spellStart"/>
            <w:r>
              <w:t>micro</w:t>
            </w:r>
            <w:proofErr w:type="spellEnd"/>
            <w:r>
              <w:t xml:space="preserve"> </w:t>
            </w:r>
            <w:proofErr w:type="spellStart"/>
            <w:r>
              <w:t>and</w:t>
            </w:r>
            <w:proofErr w:type="spellEnd"/>
            <w:r>
              <w:t xml:space="preserve"> </w:t>
            </w:r>
            <w:proofErr w:type="spellStart"/>
            <w:r>
              <w:t>small</w:t>
            </w:r>
            <w:proofErr w:type="spellEnd"/>
            <w:r>
              <w:t xml:space="preserve"> </w:t>
            </w:r>
            <w:proofErr w:type="spellStart"/>
            <w:r>
              <w:t>enterprises</w:t>
            </w:r>
            <w:proofErr w:type="spellEnd"/>
            <w:r>
              <w:t xml:space="preserve">, </w:t>
            </w:r>
            <w:proofErr w:type="spellStart"/>
            <w:r>
              <w:t>an</w:t>
            </w:r>
            <w:proofErr w:type="spellEnd"/>
            <w:r>
              <w:t xml:space="preserve"> </w:t>
            </w:r>
            <w:proofErr w:type="spellStart"/>
            <w:r>
              <w:t>employer</w:t>
            </w:r>
            <w:proofErr w:type="spellEnd"/>
            <w:r>
              <w:t xml:space="preserve"> </w:t>
            </w:r>
            <w:proofErr w:type="spellStart"/>
            <w:r>
              <w:t>may</w:t>
            </w:r>
            <w:proofErr w:type="spellEnd"/>
            <w:r>
              <w:t xml:space="preserve"> </w:t>
            </w:r>
            <w:proofErr w:type="spellStart"/>
            <w:r>
              <w:t>have</w:t>
            </w:r>
            <w:proofErr w:type="spellEnd"/>
            <w:r>
              <w:t xml:space="preserve"> </w:t>
            </w:r>
            <w:proofErr w:type="spellStart"/>
            <w:r>
              <w:t>flexibility</w:t>
            </w:r>
            <w:proofErr w:type="spellEnd"/>
            <w:r>
              <w:t xml:space="preserve"> </w:t>
            </w:r>
            <w:proofErr w:type="spellStart"/>
            <w:r>
              <w:t>in</w:t>
            </w:r>
            <w:proofErr w:type="spellEnd"/>
            <w:r>
              <w:t xml:space="preserve"> </w:t>
            </w:r>
            <w:proofErr w:type="spellStart"/>
            <w:r>
              <w:t>the</w:t>
            </w:r>
            <w:proofErr w:type="spellEnd"/>
            <w:r>
              <w:t xml:space="preserve"> </w:t>
            </w:r>
            <w:proofErr w:type="spellStart"/>
            <w:r>
              <w:t>way</w:t>
            </w:r>
            <w:proofErr w:type="spellEnd"/>
            <w:r>
              <w:t xml:space="preserve"> it </w:t>
            </w:r>
            <w:proofErr w:type="spellStart"/>
            <w:r>
              <w:t>complies</w:t>
            </w:r>
            <w:proofErr w:type="spellEnd"/>
            <w:r>
              <w:t xml:space="preserve"> </w:t>
            </w:r>
            <w:proofErr w:type="spellStart"/>
            <w:r>
              <w:t>with</w:t>
            </w:r>
            <w:proofErr w:type="spellEnd"/>
            <w:r>
              <w:t xml:space="preserve"> </w:t>
            </w:r>
            <w:proofErr w:type="spellStart"/>
            <w:r>
              <w:t>this</w:t>
            </w:r>
            <w:proofErr w:type="spellEnd"/>
            <w:r>
              <w:t xml:space="preserve"> </w:t>
            </w:r>
            <w:proofErr w:type="spellStart"/>
            <w:r>
              <w:t>obligation</w:t>
            </w:r>
            <w:proofErr w:type="spellEnd"/>
            <w:r>
              <w:t xml:space="preserve"> </w:t>
            </w:r>
            <w:proofErr w:type="spellStart"/>
            <w:r>
              <w:t>taking</w:t>
            </w:r>
            <w:proofErr w:type="spellEnd"/>
            <w:r>
              <w:t xml:space="preserve"> </w:t>
            </w:r>
            <w:proofErr w:type="spellStart"/>
            <w:r>
              <w:t>into</w:t>
            </w:r>
            <w:proofErr w:type="spellEnd"/>
            <w:r>
              <w:t xml:space="preserve"> </w:t>
            </w:r>
            <w:proofErr w:type="spellStart"/>
            <w:r>
              <w:t>account</w:t>
            </w:r>
            <w:proofErr w:type="spellEnd"/>
            <w:r>
              <w:t xml:space="preserve"> </w:t>
            </w:r>
            <w:proofErr w:type="spellStart"/>
            <w:r>
              <w:t>its</w:t>
            </w:r>
            <w:proofErr w:type="spellEnd"/>
            <w:r>
              <w:t xml:space="preserve"> </w:t>
            </w:r>
            <w:proofErr w:type="spellStart"/>
            <w:r>
              <w:t>size</w:t>
            </w:r>
            <w:proofErr w:type="spellEnd"/>
            <w:r>
              <w:t xml:space="preserve">, </w:t>
            </w:r>
            <w:proofErr w:type="spellStart"/>
            <w:r>
              <w:t>based</w:t>
            </w:r>
            <w:proofErr w:type="spellEnd"/>
            <w:r>
              <w:t xml:space="preserve"> </w:t>
            </w:r>
            <w:proofErr w:type="spellStart"/>
            <w:r>
              <w:t>on</w:t>
            </w:r>
            <w:proofErr w:type="spellEnd"/>
            <w:r>
              <w:t xml:space="preserve"> </w:t>
            </w:r>
            <w:proofErr w:type="spellStart"/>
            <w:r>
              <w:t>the</w:t>
            </w:r>
            <w:proofErr w:type="spellEnd"/>
            <w:r>
              <w:t xml:space="preserve"> </w:t>
            </w:r>
            <w:proofErr w:type="spellStart"/>
            <w:r>
              <w:t>number</w:t>
            </w:r>
            <w:proofErr w:type="spellEnd"/>
            <w:r>
              <w:t xml:space="preserve"> </w:t>
            </w:r>
            <w:proofErr w:type="spellStart"/>
            <w:r>
              <w:t>of</w:t>
            </w:r>
            <w:proofErr w:type="spellEnd"/>
            <w:r>
              <w:t xml:space="preserve"> </w:t>
            </w:r>
            <w:proofErr w:type="spellStart"/>
            <w:r>
              <w:t>employees</w:t>
            </w:r>
            <w:proofErr w:type="spellEnd"/>
            <w:r>
              <w:t>".</w:t>
            </w:r>
            <w:r>
              <w:br/>
              <w:t xml:space="preserve">Līdz ar to, Direktīvas prasības šajā punktā Likumprojektā ir pārņemtas </w:t>
            </w:r>
            <w:r>
              <w:lastRenderedPageBreak/>
              <w:t xml:space="preserve">stingrāk. Lai mazinātu administratīvo slogu "mazajiem" darba devējiem, būtu nepieciešams vērtēt, vai šie darba devēji nebūtu </w:t>
            </w:r>
            <w:r>
              <w:rPr>
                <w:u w:val="single"/>
              </w:rPr>
              <w:t>jāatbrīvo no obligātā pienākuma paziņot informāciju par kritērijiem, kas izmantoti, lai noteikti samaksu un samaksas līmeņus</w:t>
            </w:r>
            <w:r>
              <w:t>. Jāņem vērā, ka arī šiem darba devējiem būtu pienākums nodrošināt, ka kritēriji tiek izstrādāti un izmantoti, līdz ar to izmaiņas skartu tikai pienākumu tos paziņot darbiniekiem.</w:t>
            </w:r>
            <w:r>
              <w:br/>
            </w:r>
            <w:r>
              <w:br/>
            </w:r>
            <w:r>
              <w:rPr>
                <w:b/>
              </w:rPr>
              <w:t>Likumprojekta 13.pants - nodarbināto tiesības uz aizsardzību</w:t>
            </w:r>
            <w:r>
              <w:br/>
              <w:t>Likumprojekta 13.panta ceturtajā daļā noteikts, ka pārkāpuma gadījumā nodarbinātajam ir tiesības prasīt zaudējumu atlīdzību un atlīdzību par morālo (nemantisko) kaitējumu. Salīdzinājumā ar Direktīvu, Likumprojekts nosaka šaurāku kompensācijas tvērumu, radot šaubas, ka tiks izpildīts dalībvalstīm noteiktais pienākums.</w:t>
            </w:r>
            <w:r>
              <w:br/>
              <w:t xml:space="preserve">Direktīvas 16.panta 3.punktā </w:t>
            </w:r>
            <w:r>
              <w:lastRenderedPageBreak/>
              <w:t xml:space="preserve">noteikts, ka: "Dalībvalstis nodrošina, ka kompensācijā vai zaudējumu atlīdzībā ir ietverta neizmaksātās darba algas un ar to saistīto piemaksu vai maksājumu natūrā atgūšana pilnā apmērā, kompensācija par zaudētajām iespējām, morālo kaitējumu, jebkādu kaitējumu, ko izraisījuši citi būtiski faktori, pie kuriem var piederēt </w:t>
            </w:r>
            <w:proofErr w:type="spellStart"/>
            <w:r>
              <w:t>vairākpamatu</w:t>
            </w:r>
            <w:proofErr w:type="spellEnd"/>
            <w:r>
              <w:t xml:space="preserve"> diskriminācija, kā arī nokavējuma procenti."</w:t>
            </w:r>
            <w:r>
              <w:br/>
              <w:t xml:space="preserve">Ņemot vērā, ka Direktīvā noteikts plašākas kompensācijas iespējas, būtu jāvērtē, vai Likumprojekta </w:t>
            </w:r>
            <w:r>
              <w:rPr>
                <w:u w:val="single"/>
              </w:rPr>
              <w:t>13.panta ceturtā daļa nebūtu jāpapildina arī ar citām kompensācijas komponentēm</w:t>
            </w:r>
            <w:r>
              <w:t>.</w:t>
            </w:r>
            <w:r>
              <w:br/>
            </w:r>
            <w:r>
              <w:br/>
            </w:r>
            <w:r>
              <w:rPr>
                <w:b/>
              </w:rPr>
              <w:t>Likumprojekta 18.pants - noilguma termiņi</w:t>
            </w:r>
            <w:r>
              <w:br/>
              <w:t xml:space="preserve">Likumprojektā noteikts, ka: "Visi prasījumi, kas izriet no tiesībām uz vienlīdzīgu darba samaksu, noilgst trīs gadu laikā. Šādos gadījumos piemērojami Civillikuma noteikumi par noilguma iesākumu un </w:t>
            </w:r>
            <w:r>
              <w:lastRenderedPageBreak/>
              <w:t>pārtraukumu."</w:t>
            </w:r>
            <w:r>
              <w:br/>
              <w:t>Darba likuma 60.panta trešajā daļā noteikts, ka: "Darbinieks var celt šā panta otrajā daļā paredzēto prasību tiesā triju mēnešu laikā no dienas, kad viņš uzzināja vai viņam vajadzēja uzzināt par šā panta pirmās daļas noteikumu pārkāpumu."</w:t>
            </w:r>
            <w:r>
              <w:br/>
              <w:t>Lai nodrošinātu juridisko konsekvenci, tajā pašā laikā izpildot Direktīvas prasības, būtu jāapsver, vai nav nepieciešams veikt izmaiņas Likumprojekta noilguma regulējumā, nosakot sākuma brīdi, kā tas šobrīd norādīts Darba likumā, proti:</w:t>
            </w:r>
            <w:r>
              <w:br/>
              <w:t xml:space="preserve">"Visi prasījumi, kas izriet no tiesībām uz vienlīdzīgu darba samaksu, noilgst trīs gadu laikā </w:t>
            </w:r>
            <w:r>
              <w:rPr>
                <w:u w:val="single"/>
              </w:rPr>
              <w:t>no dienas, kad darbinieks uzzināja vai viņam vajadzēja uzzināt par tiesībām uz vienlīdzīgu darba samaksu pārkāpumu</w:t>
            </w:r>
            <w:r>
              <w:t>."</w:t>
            </w:r>
            <w:r>
              <w:br/>
            </w:r>
            <w:r>
              <w:br/>
            </w:r>
            <w:r>
              <w:rPr>
                <w:b/>
              </w:rPr>
              <w:t>Likumprojekta 19.pants - tiesāšanās izdevumi</w:t>
            </w:r>
            <w:r>
              <w:br/>
              <w:t xml:space="preserve">Likumprojekta 19.pantā noteikts </w:t>
            </w:r>
            <w:r>
              <w:lastRenderedPageBreak/>
              <w:t>vispārīgs regulējums attiecībā uz tiesas tiesībām noteikt mazāku apmēru atlīdzināmo izdevumu advokāta palīdzības samaksai. Būtu jāvērtē, vai šo normu nevajadzētu precizēt, lai tā nodrošinātu Direktīvā noteikto mērķu izpildi.</w:t>
            </w:r>
            <w:r>
              <w:br/>
              <w:t>Direktīvas 22.pantā noteikts, ka dalībvalstīm jānodrošina, ka "valstu tiesas saskaņā ar valstu tiesību aktiem varētu novērtēt, vai prasītājam, kuram spriedums ir nelabvēlīgs, bija pamatoti iemesli prasības celšanai un, ja tādi bija, vai nebūtu lietderīgi no prasītāja neprasīt segt tiesvedības izmaksas."</w:t>
            </w:r>
            <w:r>
              <w:br/>
              <w:t xml:space="preserve">Tādējādi, lai implementētu Direktīvas nosacījumus, Likumprojektā jānosaka tiesas tiesības vērtēt prasījumu celšanas pamatotību, piemēram, šādā redakcijā: "Tiesa lietās par vienlīdzīgu darba samaksu var </w:t>
            </w:r>
            <w:r>
              <w:rPr>
                <w:u w:val="single"/>
              </w:rPr>
              <w:t xml:space="preserve">prasītājam </w:t>
            </w:r>
            <w:r>
              <w:t xml:space="preserve">noteikt mazāku apmēru atlīdzināmo izdevumu advokāta palīdzības samaksai, ievērojot taisnīguma un samērīguma principu, kā arī </w:t>
            </w:r>
            <w:r>
              <w:rPr>
                <w:u w:val="single"/>
              </w:rPr>
              <w:t xml:space="preserve">izvērtējot, vai </w:t>
            </w:r>
            <w:r>
              <w:rPr>
                <w:u w:val="single"/>
              </w:rPr>
              <w:lastRenderedPageBreak/>
              <w:t>prasītājam, kuram spriedums ir nelabvēlīgs, bija pamatoti iemesli prasības celšanai</w:t>
            </w:r>
            <w:r>
              <w:t>."</w:t>
            </w:r>
            <w:r>
              <w:br/>
            </w:r>
            <w:r>
              <w:br/>
            </w:r>
            <w:r>
              <w:rPr>
                <w:b/>
              </w:rPr>
              <w:t>Direktīvas 11.pants nav pārņemts - palīdzība darba devējiem un darbinieku pārstāvjiem</w:t>
            </w:r>
            <w:r>
              <w:br/>
              <w:t>Direktīvas 11.pantā noteikts, ka dalībvalstīm ir jānodrošina tehniskā palīdzība un mācības darba devējiem un darbinieku pārstāvjiem, kuriem ir mazāk nekā 250 darba ņēmēju, lai veicinātu viņu atbilstību Direktīvā noteiktajiem pienākumiem.</w:t>
            </w:r>
            <w:r>
              <w:br/>
              <w:t>Likumprojekta anotācijā nav norādīts, kādēļ minētā norma netiek pārņemta, vien norādot, ka šis pants nav jāpārņem, taču Direktīva šķietami nosaka dalībvalstu pienākumu, nevis tiesības, nodrošināt palīdzību darba devējiem un darbinieku pārstāvjiem.</w:t>
            </w:r>
            <w:r>
              <w:br/>
              <w:t xml:space="preserve">Papildus minētajam, Direktīvas 4.panta otrajā daļā noteikts, ka dalībvalstis dara pieejamus analītiskus instrumentus vai </w:t>
            </w:r>
            <w:r>
              <w:lastRenderedPageBreak/>
              <w:t>metodes, kas sniedz atbalstu un norādes darba vērtības novērtēšanā un salīdzināšanā. Arī šī tiesību norma nav tikusi pārņemta, lai gan anotācijā norādīts, ka Direktīvas 4.pants ir ticis pārņemts pilnībā.</w:t>
            </w:r>
            <w:r>
              <w:br/>
            </w:r>
          </w:p>
        </w:tc>
        <w:tc>
          <w:tcPr>
            <w:tcW w:w="1650" w:type="dxa"/>
            <w:shd w:val="clear" w:color="auto" w:fill="FFFFFF"/>
            <w:noWrap/>
            <w:tcMar>
              <w:top w:w="0" w:type="dxa"/>
              <w:left w:w="0" w:type="dxa"/>
              <w:bottom w:w="0" w:type="dxa"/>
              <w:right w:w="0" w:type="dxa"/>
            </w:tcMar>
            <w:vAlign w:val="center"/>
          </w:tcPr>
          <w:p w14:paraId="064A0F92" w14:textId="6AC14F0F" w:rsidR="00075F8E" w:rsidRDefault="00D42A1D">
            <w:pPr>
              <w:spacing w:line="240" w:lineRule="auto"/>
              <w:jc w:val="left"/>
            </w:pPr>
            <w:r>
              <w:lastRenderedPageBreak/>
              <w:t>Daļēji ņemts vērā</w:t>
            </w:r>
          </w:p>
        </w:tc>
        <w:tc>
          <w:tcPr>
            <w:tcW w:w="4056" w:type="dxa"/>
            <w:shd w:val="clear" w:color="auto" w:fill="FFFFFF"/>
            <w:noWrap/>
            <w:tcMar>
              <w:top w:w="0" w:type="dxa"/>
              <w:left w:w="0" w:type="dxa"/>
              <w:bottom w:w="0" w:type="dxa"/>
              <w:right w:w="0" w:type="dxa"/>
            </w:tcMar>
            <w:vAlign w:val="center"/>
          </w:tcPr>
          <w:p w14:paraId="79D643B0" w14:textId="64FBB1A4" w:rsidR="00C4637D" w:rsidRPr="00C4637D" w:rsidRDefault="00C4637D" w:rsidP="00C4637D">
            <w:pPr>
              <w:spacing w:line="240" w:lineRule="auto"/>
            </w:pPr>
            <w:r w:rsidRPr="00C4637D">
              <w:t>Priekšlikumi ir izvērtēti</w:t>
            </w:r>
            <w:r>
              <w:t>.</w:t>
            </w:r>
          </w:p>
          <w:p w14:paraId="3975D226" w14:textId="77777777" w:rsidR="00C4637D" w:rsidRDefault="00C4637D" w:rsidP="00C4637D">
            <w:pPr>
              <w:spacing w:line="240" w:lineRule="auto"/>
            </w:pPr>
          </w:p>
          <w:p w14:paraId="10CF38C2" w14:textId="066A5CC6" w:rsidR="00D42A1D" w:rsidRPr="00D42A1D" w:rsidRDefault="00D42A1D" w:rsidP="00C4637D">
            <w:pPr>
              <w:spacing w:line="240" w:lineRule="auto"/>
            </w:pPr>
            <w:r w:rsidRPr="00D42A1D">
              <w:t>Par jēdzienu “vienāds darbs”</w:t>
            </w:r>
            <w:r w:rsidR="00C4637D">
              <w:t xml:space="preserve"> - </w:t>
            </w:r>
            <w:r w:rsidR="005231A4">
              <w:t xml:space="preserve"> </w:t>
            </w:r>
            <w:r w:rsidR="00C4637D">
              <w:t>l</w:t>
            </w:r>
            <w:r w:rsidR="0037519B" w:rsidRPr="00560111">
              <w:t>ikumprojektā lietots jēdziens “tāds pats darbs”</w:t>
            </w:r>
            <w:r w:rsidRPr="00D42A1D">
              <w:br/>
              <w:t xml:space="preserve">Direktīva (ES) 2023/970 paredz vienotu pieeju vienlīdzīgas darba samaksas nodrošināšanai, balstoties uz vienādas vērtības darba jēdzienu, kas pēc būtības ietver arī situācijas, kad tiek </w:t>
            </w:r>
            <w:r w:rsidR="00C4637D">
              <w:t xml:space="preserve">veikts </w:t>
            </w:r>
            <w:r w:rsidR="00BD3518" w:rsidRPr="00560111">
              <w:t>tāds pats darbs</w:t>
            </w:r>
            <w:r w:rsidRPr="00D42A1D">
              <w:t xml:space="preserve">. Direktīva neparedz pienākumu dalībvalstīm normatīvi nodalīt </w:t>
            </w:r>
            <w:r w:rsidR="00BD3518" w:rsidRPr="00560111">
              <w:t>“tāds pats darbs”</w:t>
            </w:r>
            <w:r w:rsidRPr="00D42A1D">
              <w:t xml:space="preserve"> un “vienādas vērtības darbu” definīciju līmenī. Līdz ar to atsevišķas </w:t>
            </w:r>
            <w:r w:rsidR="00BD3518" w:rsidRPr="00560111">
              <w:t>“tāds pats darbs”</w:t>
            </w:r>
            <w:r w:rsidR="0090781D" w:rsidRPr="00560111">
              <w:t xml:space="preserve"> </w:t>
            </w:r>
            <w:r w:rsidRPr="00D42A1D">
              <w:lastRenderedPageBreak/>
              <w:t>definīcijas iekļaušana likumprojektā nav nepieciešama un neradītu papildu tiesisko saturu.</w:t>
            </w:r>
          </w:p>
          <w:p w14:paraId="78C136D3" w14:textId="62E1D485" w:rsidR="00D42A1D" w:rsidRDefault="00D42A1D" w:rsidP="00D42A1D">
            <w:pPr>
              <w:spacing w:line="240" w:lineRule="auto"/>
              <w:jc w:val="left"/>
            </w:pPr>
            <w:r w:rsidRPr="00D42A1D">
              <w:t>Par jēdzienu “nodarbinātais” un subjektu loku</w:t>
            </w:r>
            <w:r w:rsidR="00C4637D">
              <w:t xml:space="preserve"> - </w:t>
            </w:r>
            <w:r w:rsidRPr="00D42A1D">
              <w:t>Direktīvas (ES) 2023/970 subjektu loks ir būtiski plašāks nekā Darba likumā noteiktais “darbinieka” jēdziens un aptver personas, kuras pret atlīdzību veic darbu citas personas vadībā neatkarīgi no tiesiskā statusa. Lai šo tvērumu pilnvērtīgi pārņemtu, likumprojektā apzināti lietots jēdziens “nodarbinātais”, kura saturs izriet no 2. panta otrās daļas. Anotācijā skaidrots, ka likums var attiekties arī uz personām, kuras nav darba tiesiskajās attiecībās Darba likuma izpratnē. Slēgta personu uzskaitījuma (piemēram, par valdes locekļiem, autoratlīdzību saņēmējiem vai pakalpojumu sniedzējiem) iekļaušana definīcijā nav paredzēta, jo Direktīva balstās uz funkcionālu, nevis formālu pieeju.</w:t>
            </w:r>
            <w:r w:rsidR="0090781D" w:rsidRPr="00560111">
              <w:t xml:space="preserve"> Tomēr tiks apsvērta doma iekļaut plašāku subjektu loka </w:t>
            </w:r>
            <w:r w:rsidR="0090781D" w:rsidRPr="00560111">
              <w:lastRenderedPageBreak/>
              <w:t>skaidrojumu</w:t>
            </w:r>
            <w:r w:rsidR="00D563A4">
              <w:t xml:space="preserve"> anotācijā. Vienlaikus paredzēts arī </w:t>
            </w:r>
            <w:r w:rsidR="00327B22">
              <w:t>ietvert likumprojektā jēdziena “nodarbinātais” definīciju.</w:t>
            </w:r>
          </w:p>
          <w:p w14:paraId="614D34DA" w14:textId="77777777" w:rsidR="00327B22" w:rsidRPr="00D42A1D" w:rsidRDefault="00327B22" w:rsidP="00D42A1D">
            <w:pPr>
              <w:spacing w:line="240" w:lineRule="auto"/>
              <w:jc w:val="left"/>
            </w:pPr>
          </w:p>
          <w:p w14:paraId="49CBEB12" w14:textId="11B8A822" w:rsidR="005319AF" w:rsidRDefault="00D42A1D" w:rsidP="00D42A1D">
            <w:pPr>
              <w:spacing w:line="240" w:lineRule="auto"/>
              <w:jc w:val="left"/>
            </w:pPr>
            <w:r w:rsidRPr="00D42A1D">
              <w:t>Par jēdzienu “darba devējs”</w:t>
            </w:r>
            <w:r w:rsidR="00053FA4">
              <w:t xml:space="preserve"> - l</w:t>
            </w:r>
            <w:r w:rsidRPr="00D42A1D">
              <w:t>ikumprojektā jēdziens “darba devējs” tiek lietots, ievērojot Direktīvas (ES) 2023/970 tvērumu, kas nav ierobežots tikai ar Darba likumā lietoto jēdzienisko konstrukciju. Atsevišķas definīcijas iekļaušana likumā nav nepieciešama, jo tā varētu nepamatoti sašaurināt Direktīvā paredzēto subjektu loku un radīt interpretācijas riskus.</w:t>
            </w:r>
          </w:p>
          <w:p w14:paraId="2A50831F" w14:textId="77777777" w:rsidR="00053FA4" w:rsidRPr="00560111" w:rsidRDefault="00053FA4" w:rsidP="00D42A1D">
            <w:pPr>
              <w:spacing w:line="240" w:lineRule="auto"/>
              <w:jc w:val="left"/>
            </w:pPr>
          </w:p>
          <w:p w14:paraId="58EF894D" w14:textId="05B816B8" w:rsidR="00D42A1D" w:rsidRPr="00D42A1D" w:rsidRDefault="00D42A1D" w:rsidP="00D42A1D">
            <w:pPr>
              <w:spacing w:line="240" w:lineRule="auto"/>
              <w:jc w:val="left"/>
            </w:pPr>
            <w:r w:rsidRPr="00D42A1D">
              <w:t>Par Darba likumā jau definēto jēdzienu izmantošanu</w:t>
            </w:r>
            <w:r w:rsidR="00053FA4">
              <w:t xml:space="preserve"> - k</w:t>
            </w:r>
            <w:r w:rsidR="005319AF" w:rsidRPr="00560111">
              <w:t>ā jau minēts</w:t>
            </w:r>
            <w:r w:rsidR="00053FA4">
              <w:t xml:space="preserve"> iepriekš, </w:t>
            </w:r>
            <w:r w:rsidR="005319AF" w:rsidRPr="00560111">
              <w:t xml:space="preserve"> Direktīvas subjektu loks ir daudz plašāks, </w:t>
            </w:r>
            <w:r w:rsidR="00747424" w:rsidRPr="00560111">
              <w:t>ta</w:t>
            </w:r>
            <w:r w:rsidR="00053FA4">
              <w:t>s</w:t>
            </w:r>
            <w:r w:rsidR="00747424" w:rsidRPr="00560111">
              <w:t xml:space="preserve"> aptver ne tikai darba tiesiskās attiecībās. Attiecīgi j</w:t>
            </w:r>
            <w:r w:rsidRPr="00D42A1D">
              <w:t xml:space="preserve">ēdzieni, kas jau ir nostiprināti Darba likumā (piemēram, tieša un netieša diskriminācija, personas aizskaršana), likumprojektā ir izmantoti, lai nodrošinātu </w:t>
            </w:r>
            <w:r w:rsidRPr="00D42A1D">
              <w:lastRenderedPageBreak/>
              <w:t>Direktīvas (ES) 2023/970 terminoloģisko konsekvenci un vienotu izpratni, nevis lai radītu jaunu vai atšķirīgu regulējumu.</w:t>
            </w:r>
          </w:p>
          <w:p w14:paraId="2E3A98BF" w14:textId="77777777" w:rsidR="00075F8E" w:rsidRPr="00560111" w:rsidRDefault="00075F8E">
            <w:pPr>
              <w:spacing w:line="240" w:lineRule="auto"/>
              <w:jc w:val="left"/>
            </w:pPr>
          </w:p>
          <w:p w14:paraId="0BE2D703" w14:textId="7E9A765D" w:rsidR="003C487E" w:rsidRPr="003C487E" w:rsidRDefault="003C487E" w:rsidP="003C487E">
            <w:pPr>
              <w:spacing w:line="240" w:lineRule="auto"/>
              <w:jc w:val="left"/>
            </w:pPr>
            <w:r w:rsidRPr="003C487E">
              <w:t xml:space="preserve">Likumprojekta 3. panta trešā daļa pēc būtības pārņem Direktīvā (ES) 2023/970 noteikto pieeju, paredzot, ka darba samaksas noteikšanā izmantotajiem kritērijiem jābūt objektīviem, </w:t>
            </w:r>
            <w:proofErr w:type="spellStart"/>
            <w:r w:rsidRPr="003C487E">
              <w:t>dzimumneitrāliem</w:t>
            </w:r>
            <w:proofErr w:type="spellEnd"/>
            <w:r w:rsidRPr="003C487E">
              <w:t xml:space="preserve"> un balstītiem uz prasmēm, piepūli, atbildību un darba apstākļiem, vienlaikus nodrošinot, ka </w:t>
            </w:r>
            <w:r w:rsidRPr="00560111">
              <w:t xml:space="preserve">citas </w:t>
            </w:r>
            <w:r w:rsidRPr="003C487E">
              <w:t xml:space="preserve">prasmes (t. sk. </w:t>
            </w:r>
            <w:r w:rsidR="00991229" w:rsidRPr="00560111">
              <w:t xml:space="preserve">vispārīgās prasmes) </w:t>
            </w:r>
            <w:r w:rsidRPr="003C487E">
              <w:t>netiek sistemātiski nenovērtētas. Likumprojekts neparedz pienākumu veikt atsevišķu vai formālu vispārīgo prasmju novērtējumu, bet nosaka rezultāta prasību – nepieļaut šo prasmju nepamatotu zemu novērtējumu, kas atbilst Direktīvas formulējumam.</w:t>
            </w:r>
          </w:p>
          <w:p w14:paraId="185F519A" w14:textId="556158FB" w:rsidR="003C487E" w:rsidRPr="003C487E" w:rsidRDefault="00991229" w:rsidP="003C487E">
            <w:pPr>
              <w:spacing w:line="240" w:lineRule="auto"/>
              <w:jc w:val="left"/>
            </w:pPr>
            <w:r w:rsidRPr="00560111">
              <w:t xml:space="preserve">Vispārīgās prasmes </w:t>
            </w:r>
            <w:r w:rsidR="003C487E" w:rsidRPr="003C487E">
              <w:t xml:space="preserve"> (piemēram, komunikācija, sadarbība, empātija, organizatoriskās prasmes) ir jāņem vērā darba vērtēšanā kā daļa no prasmju kritērija, nevis kā atsevišķs </w:t>
            </w:r>
            <w:r w:rsidR="003C487E" w:rsidRPr="003C487E">
              <w:lastRenderedPageBreak/>
              <w:t>novērtēšanas elements</w:t>
            </w:r>
            <w:r w:rsidRPr="00560111">
              <w:t xml:space="preserve">. </w:t>
            </w:r>
            <w:r w:rsidR="003C487E" w:rsidRPr="003C487E">
              <w:t>Direktīva neparedz pienākumu izveidot jaunu, autonoma rakstura prasmju novērtēšanas mehānismu.</w:t>
            </w:r>
          </w:p>
          <w:p w14:paraId="1BCA4DAD" w14:textId="5AB40267" w:rsidR="003C487E" w:rsidRPr="003C487E" w:rsidRDefault="003C487E" w:rsidP="003C487E">
            <w:pPr>
              <w:spacing w:line="240" w:lineRule="auto"/>
              <w:jc w:val="left"/>
            </w:pPr>
            <w:r w:rsidRPr="003C487E">
              <w:t xml:space="preserve">Arī EIGE </w:t>
            </w:r>
            <w:proofErr w:type="spellStart"/>
            <w:r w:rsidRPr="003C487E">
              <w:t>dzimumneitrālas</w:t>
            </w:r>
            <w:proofErr w:type="spellEnd"/>
            <w:r w:rsidRPr="003C487E">
              <w:t xml:space="preserve"> amatu novērtēšanas vadlīnij</w:t>
            </w:r>
            <w:r w:rsidR="00211EAE">
              <w:t xml:space="preserve">ās </w:t>
            </w:r>
            <w:hyperlink r:id="rId20" w:history="1">
              <w:r w:rsidR="00211EAE" w:rsidRPr="00211EAE">
                <w:rPr>
                  <w:rStyle w:val="Hyperlink"/>
                  <w:b/>
                  <w:bCs/>
                </w:rPr>
                <w:t>https://eige.europa.eu/gender-mainstreaming/toolkits/gender-neutral-job-evaluation</w:t>
              </w:r>
            </w:hyperlink>
            <w:r w:rsidRPr="003C487E">
              <w:t xml:space="preserve"> uzsv</w:t>
            </w:r>
            <w:r w:rsidR="00211EAE">
              <w:t>ērts</w:t>
            </w:r>
            <w:r w:rsidRPr="003C487E">
              <w:t xml:space="preserve">, ka vispārīgās un sociālās prasmes ir jāintegrē kopējā darba vērtējumā, nodrošinot to salīdzināmību un </w:t>
            </w:r>
            <w:proofErr w:type="spellStart"/>
            <w:r w:rsidRPr="003C487E">
              <w:t>dzimumneitralitāti</w:t>
            </w:r>
            <w:proofErr w:type="spellEnd"/>
            <w:r w:rsidRPr="003C487E">
              <w:t xml:space="preserve">, bet neparedz obligātu atsevišķu </w:t>
            </w:r>
            <w:r w:rsidR="00DE3807" w:rsidRPr="00560111">
              <w:t xml:space="preserve">vispārīgu prasmju </w:t>
            </w:r>
            <w:r w:rsidRPr="003C487E">
              <w:t xml:space="preserve">vērtēšanas procedūru. Līdz ar to pašreizējā </w:t>
            </w:r>
            <w:r w:rsidR="00211EAE">
              <w:t xml:space="preserve"> likumprojekta </w:t>
            </w:r>
            <w:r w:rsidRPr="003C487E">
              <w:t>3. panta redakcija neatkāpjas no Direktīvas un nerada darba devējiem papildu pienākumus.</w:t>
            </w:r>
          </w:p>
          <w:p w14:paraId="62EA2FD2" w14:textId="77777777" w:rsidR="003C487E" w:rsidRPr="00560111" w:rsidRDefault="00DE3807">
            <w:pPr>
              <w:spacing w:line="240" w:lineRule="auto"/>
              <w:jc w:val="left"/>
            </w:pPr>
            <w:r w:rsidRPr="00560111">
              <w:t xml:space="preserve">Vienlaikus tiks apsvērta doma papildināt </w:t>
            </w:r>
            <w:r w:rsidR="00BA1A23" w:rsidRPr="00560111">
              <w:t>anotāciju</w:t>
            </w:r>
            <w:r w:rsidRPr="00560111">
              <w:t xml:space="preserve"> ar </w:t>
            </w:r>
            <w:r w:rsidR="00BA1A23" w:rsidRPr="00560111">
              <w:t>plašāku skaidrojumu par vispārīgajām prasmēm.</w:t>
            </w:r>
          </w:p>
          <w:p w14:paraId="2F6D8334" w14:textId="77777777" w:rsidR="006D3AAE" w:rsidRPr="00560111" w:rsidRDefault="006D3AAE">
            <w:pPr>
              <w:spacing w:line="240" w:lineRule="auto"/>
              <w:jc w:val="left"/>
            </w:pPr>
          </w:p>
          <w:p w14:paraId="6A4421F8" w14:textId="6D10B28B" w:rsidR="006D3AAE" w:rsidRDefault="006D3AAE" w:rsidP="006D3AAE">
            <w:pPr>
              <w:spacing w:line="240" w:lineRule="auto"/>
              <w:jc w:val="left"/>
            </w:pPr>
            <w:r w:rsidRPr="00560111">
              <w:t>P</w:t>
            </w:r>
            <w:r w:rsidRPr="006D3AAE">
              <w:t xml:space="preserve">lānots grozīt </w:t>
            </w:r>
            <w:r w:rsidR="00E65D5E">
              <w:t>l</w:t>
            </w:r>
            <w:r w:rsidRPr="006D3AAE">
              <w:t xml:space="preserve">ikumprojekta 6. panta redakciju, precizējot, ka sludinājumā norādāma </w:t>
            </w:r>
            <w:r w:rsidR="00E65D5E" w:rsidRPr="00E65D5E">
              <w:t xml:space="preserve">vismaz informāciju par  attiecīgā darba </w:t>
            </w:r>
            <w:r w:rsidR="00E65D5E" w:rsidRPr="00E65D5E">
              <w:lastRenderedPageBreak/>
              <w:t>(amata) sākotnējās darba algas  kopējās mēneša vai gada summas bruto vai paredzēto stundas tarifa likmes samaksas amplitūdu. Darba sludinājumā var ietvert arī citu informāciju, kas attiecas uz darba samaksu.</w:t>
            </w:r>
            <w:r w:rsidRPr="006D3AAE">
              <w:t xml:space="preserve"> </w:t>
            </w:r>
            <w:r w:rsidR="0018497E">
              <w:t>S</w:t>
            </w:r>
            <w:r w:rsidRPr="006D3AAE">
              <w:t>avukārt informācija par</w:t>
            </w:r>
            <w:r w:rsidR="00566BE5" w:rsidRPr="00560111">
              <w:t xml:space="preserve"> papildu </w:t>
            </w:r>
            <w:r w:rsidR="008D5A14" w:rsidRPr="00560111">
              <w:t>vai mainīgajiem komponentiem</w:t>
            </w:r>
            <w:r w:rsidRPr="006D3AAE">
              <w:t xml:space="preserve"> nodrošināma citā piemērotā veidā</w:t>
            </w:r>
            <w:r w:rsidR="001A13E7" w:rsidRPr="001A13E7">
              <w:rPr>
                <w:rFonts w:eastAsia="Calibri"/>
                <w:color w:val="auto"/>
                <w:sz w:val="24"/>
                <w:szCs w:val="24"/>
              </w:rPr>
              <w:t xml:space="preserve"> </w:t>
            </w:r>
            <w:r w:rsidR="001A13E7" w:rsidRPr="001A13E7">
              <w:t>pirms nodarbinātības tiesisko attiecību nodibināšanas</w:t>
            </w:r>
            <w:r w:rsidRPr="006D3AAE">
              <w:t>, bet nav obligāti publicējama sludinājumā.</w:t>
            </w:r>
          </w:p>
          <w:p w14:paraId="14B9642B" w14:textId="77777777" w:rsidR="001A13E7" w:rsidRPr="006D3AAE" w:rsidRDefault="001A13E7" w:rsidP="006D3AAE">
            <w:pPr>
              <w:spacing w:line="240" w:lineRule="auto"/>
              <w:jc w:val="left"/>
            </w:pPr>
          </w:p>
          <w:p w14:paraId="249F29FF" w14:textId="6873A0BC" w:rsidR="006D3AAE" w:rsidRPr="00560111" w:rsidRDefault="00E8250C">
            <w:pPr>
              <w:spacing w:line="240" w:lineRule="auto"/>
              <w:jc w:val="left"/>
            </w:pPr>
            <w:r w:rsidRPr="00560111">
              <w:t xml:space="preserve"> Likumprojekta 7.pants</w:t>
            </w:r>
            <w:r w:rsidR="001A13E7">
              <w:t xml:space="preserve"> - </w:t>
            </w:r>
          </w:p>
          <w:p w14:paraId="6D953C00" w14:textId="5288FE92" w:rsidR="00E8250C" w:rsidRPr="00E8250C" w:rsidRDefault="001A13E7" w:rsidP="00E8250C">
            <w:pPr>
              <w:spacing w:line="240" w:lineRule="auto"/>
              <w:jc w:val="left"/>
            </w:pPr>
            <w:r>
              <w:t>n</w:t>
            </w:r>
            <w:r w:rsidR="00E8250C" w:rsidRPr="00E8250C">
              <w:t xml:space="preserve">e Direktīvas (ES) 2023/970 pantos, ne tās apsvērumos, ne arī Eiropas Komisijas Direktīvas ieviešanas darba grupu diskusijās nekas neliecina, ka Direktīvā būtu paredzēts atbrīvot kādu darba devēju grupu no pienākuma nodrošināt nodarbinātajiem piekļuvi objektīviem un </w:t>
            </w:r>
            <w:proofErr w:type="spellStart"/>
            <w:r w:rsidR="00E8250C" w:rsidRPr="00E8250C">
              <w:t>dzimumneitrāliem</w:t>
            </w:r>
            <w:proofErr w:type="spellEnd"/>
            <w:r w:rsidR="00E8250C" w:rsidRPr="00E8250C">
              <w:t xml:space="preserve"> kritērijiem, kurus izmanto darba samaksas un darba samaksas līmeņu noteikšanai. Direktīva paredz elastību </w:t>
            </w:r>
            <w:r w:rsidR="00E8250C" w:rsidRPr="00E8250C">
              <w:lastRenderedPageBreak/>
              <w:t>pienākuma izpildes veidā, bet neparedz atbrīvojumu no paša pienākuma.</w:t>
            </w:r>
          </w:p>
          <w:p w14:paraId="112BB4C1" w14:textId="46AC695D" w:rsidR="00E8250C" w:rsidRPr="00E8250C" w:rsidRDefault="00E8250C" w:rsidP="00E8250C">
            <w:pPr>
              <w:spacing w:line="240" w:lineRule="auto"/>
              <w:jc w:val="left"/>
            </w:pPr>
            <w:r w:rsidRPr="00E8250C">
              <w:t>Vienīgais Direktīvā paredzētais izņēmums, kas ir pārņemts arī likumprojektā, attiecas uz informāciju par darba samaksas attīstību, proti – kritērijiem, kurus izmanto, lai nodarbinātie varētu virzīties uz augstāku darba samaksas līmeni. Attiecībā uz šo informāciju darba devēji, kuri nodarbina mazāk par 50 nodarbinātajiem, to var sniegt brīvprātīgi. Citi atbrīvojumi no pienākuma nodrošināt piekļuvi darba samaksas noteikšanas kritērijiem Direktīvā nav paredzēti.</w:t>
            </w:r>
          </w:p>
          <w:p w14:paraId="54C20131" w14:textId="4A68BA86" w:rsidR="00E8250C" w:rsidRPr="00560111" w:rsidRDefault="00E8250C" w:rsidP="00E8250C">
            <w:pPr>
              <w:spacing w:line="240" w:lineRule="auto"/>
              <w:jc w:val="left"/>
            </w:pPr>
            <w:r w:rsidRPr="00E8250C">
              <w:t>Iesniedzēja norādītā saite aizved uz Eiropas Komisijas sākotnējo priekšlikumu Direktīvai</w:t>
            </w:r>
            <w:r w:rsidRPr="00E8250C">
              <w:br/>
            </w:r>
            <w:proofErr w:type="spellStart"/>
            <w:r w:rsidRPr="00E8250C">
              <w:rPr>
                <w:i/>
                <w:iCs/>
              </w:rPr>
              <w:t>Proposal</w:t>
            </w:r>
            <w:proofErr w:type="spellEnd"/>
            <w:r w:rsidRPr="00E8250C">
              <w:rPr>
                <w:i/>
                <w:iCs/>
              </w:rPr>
              <w:t xml:space="preserve"> </w:t>
            </w:r>
            <w:proofErr w:type="spellStart"/>
            <w:r w:rsidRPr="00E8250C">
              <w:rPr>
                <w:i/>
                <w:iCs/>
              </w:rPr>
              <w:t>for</w:t>
            </w:r>
            <w:proofErr w:type="spellEnd"/>
            <w:r w:rsidRPr="00E8250C">
              <w:rPr>
                <w:i/>
                <w:iCs/>
              </w:rPr>
              <w:t xml:space="preserve"> a </w:t>
            </w:r>
            <w:proofErr w:type="spellStart"/>
            <w:r w:rsidRPr="00E8250C">
              <w:rPr>
                <w:i/>
                <w:iCs/>
              </w:rPr>
              <w:t>Directive</w:t>
            </w:r>
            <w:proofErr w:type="spellEnd"/>
            <w:r w:rsidRPr="00E8250C">
              <w:rPr>
                <w:i/>
                <w:iCs/>
              </w:rPr>
              <w:t xml:space="preserve"> </w:t>
            </w:r>
            <w:proofErr w:type="spellStart"/>
            <w:r w:rsidRPr="00E8250C">
              <w:rPr>
                <w:i/>
                <w:iCs/>
              </w:rPr>
              <w:t>of</w:t>
            </w:r>
            <w:proofErr w:type="spellEnd"/>
            <w:r w:rsidRPr="00E8250C">
              <w:rPr>
                <w:i/>
                <w:iCs/>
              </w:rPr>
              <w:t xml:space="preserve"> </w:t>
            </w:r>
            <w:proofErr w:type="spellStart"/>
            <w:r w:rsidRPr="00E8250C">
              <w:rPr>
                <w:i/>
                <w:iCs/>
              </w:rPr>
              <w:t>the</w:t>
            </w:r>
            <w:proofErr w:type="spellEnd"/>
            <w:r w:rsidRPr="00E8250C">
              <w:rPr>
                <w:i/>
                <w:iCs/>
              </w:rPr>
              <w:t xml:space="preserve"> </w:t>
            </w:r>
            <w:proofErr w:type="spellStart"/>
            <w:r w:rsidRPr="00E8250C">
              <w:rPr>
                <w:i/>
                <w:iCs/>
              </w:rPr>
              <w:t>European</w:t>
            </w:r>
            <w:proofErr w:type="spellEnd"/>
            <w:r w:rsidRPr="00E8250C">
              <w:rPr>
                <w:i/>
                <w:iCs/>
              </w:rPr>
              <w:t xml:space="preserve"> </w:t>
            </w:r>
            <w:proofErr w:type="spellStart"/>
            <w:r w:rsidRPr="00E8250C">
              <w:rPr>
                <w:i/>
                <w:iCs/>
              </w:rPr>
              <w:t>Parliament</w:t>
            </w:r>
            <w:proofErr w:type="spellEnd"/>
            <w:r w:rsidRPr="00E8250C">
              <w:rPr>
                <w:i/>
                <w:iCs/>
              </w:rPr>
              <w:t xml:space="preserve"> </w:t>
            </w:r>
            <w:proofErr w:type="spellStart"/>
            <w:r w:rsidRPr="00E8250C">
              <w:rPr>
                <w:i/>
                <w:iCs/>
              </w:rPr>
              <w:t>and</w:t>
            </w:r>
            <w:proofErr w:type="spellEnd"/>
            <w:r w:rsidRPr="00E8250C">
              <w:rPr>
                <w:i/>
                <w:iCs/>
              </w:rPr>
              <w:t xml:space="preserve"> </w:t>
            </w:r>
            <w:proofErr w:type="spellStart"/>
            <w:r w:rsidRPr="00E8250C">
              <w:rPr>
                <w:i/>
                <w:iCs/>
              </w:rPr>
              <w:t>of</w:t>
            </w:r>
            <w:proofErr w:type="spellEnd"/>
            <w:r w:rsidRPr="00E8250C">
              <w:rPr>
                <w:i/>
                <w:iCs/>
              </w:rPr>
              <w:t xml:space="preserve"> </w:t>
            </w:r>
            <w:proofErr w:type="spellStart"/>
            <w:r w:rsidRPr="00E8250C">
              <w:rPr>
                <w:i/>
                <w:iCs/>
              </w:rPr>
              <w:t>the</w:t>
            </w:r>
            <w:proofErr w:type="spellEnd"/>
            <w:r w:rsidRPr="00E8250C">
              <w:rPr>
                <w:i/>
                <w:iCs/>
              </w:rPr>
              <w:t xml:space="preserve"> </w:t>
            </w:r>
            <w:proofErr w:type="spellStart"/>
            <w:r w:rsidRPr="00E8250C">
              <w:rPr>
                <w:i/>
                <w:iCs/>
              </w:rPr>
              <w:t>Council</w:t>
            </w:r>
            <w:proofErr w:type="spellEnd"/>
            <w:r w:rsidRPr="00E8250C">
              <w:rPr>
                <w:i/>
                <w:iCs/>
              </w:rPr>
              <w:t xml:space="preserve"> to </w:t>
            </w:r>
            <w:proofErr w:type="spellStart"/>
            <w:r w:rsidRPr="00E8250C">
              <w:rPr>
                <w:i/>
                <w:iCs/>
              </w:rPr>
              <w:t>strengthen</w:t>
            </w:r>
            <w:proofErr w:type="spellEnd"/>
            <w:r w:rsidRPr="00E8250C">
              <w:rPr>
                <w:i/>
                <w:iCs/>
              </w:rPr>
              <w:t xml:space="preserve"> </w:t>
            </w:r>
            <w:proofErr w:type="spellStart"/>
            <w:r w:rsidRPr="00E8250C">
              <w:rPr>
                <w:i/>
                <w:iCs/>
              </w:rPr>
              <w:t>the</w:t>
            </w:r>
            <w:proofErr w:type="spellEnd"/>
            <w:r w:rsidRPr="00E8250C">
              <w:rPr>
                <w:i/>
                <w:iCs/>
              </w:rPr>
              <w:t xml:space="preserve"> </w:t>
            </w:r>
            <w:proofErr w:type="spellStart"/>
            <w:r w:rsidRPr="00E8250C">
              <w:rPr>
                <w:i/>
                <w:iCs/>
              </w:rPr>
              <w:t>application</w:t>
            </w:r>
            <w:proofErr w:type="spellEnd"/>
            <w:r w:rsidRPr="00E8250C">
              <w:rPr>
                <w:i/>
                <w:iCs/>
              </w:rPr>
              <w:t xml:space="preserve"> </w:t>
            </w:r>
            <w:proofErr w:type="spellStart"/>
            <w:r w:rsidRPr="00E8250C">
              <w:rPr>
                <w:i/>
                <w:iCs/>
              </w:rPr>
              <w:t>of</w:t>
            </w:r>
            <w:proofErr w:type="spellEnd"/>
            <w:r w:rsidRPr="00E8250C">
              <w:rPr>
                <w:i/>
                <w:iCs/>
              </w:rPr>
              <w:t xml:space="preserve"> </w:t>
            </w:r>
            <w:proofErr w:type="spellStart"/>
            <w:r w:rsidRPr="00E8250C">
              <w:rPr>
                <w:i/>
                <w:iCs/>
              </w:rPr>
              <w:t>the</w:t>
            </w:r>
            <w:proofErr w:type="spellEnd"/>
            <w:r w:rsidRPr="00E8250C">
              <w:rPr>
                <w:i/>
                <w:iCs/>
              </w:rPr>
              <w:t xml:space="preserve"> </w:t>
            </w:r>
            <w:proofErr w:type="spellStart"/>
            <w:r w:rsidRPr="00E8250C">
              <w:rPr>
                <w:i/>
                <w:iCs/>
              </w:rPr>
              <w:t>principle</w:t>
            </w:r>
            <w:proofErr w:type="spellEnd"/>
            <w:r w:rsidRPr="00E8250C">
              <w:rPr>
                <w:i/>
                <w:iCs/>
              </w:rPr>
              <w:t xml:space="preserve"> </w:t>
            </w:r>
            <w:proofErr w:type="spellStart"/>
            <w:r w:rsidRPr="00E8250C">
              <w:rPr>
                <w:i/>
                <w:iCs/>
              </w:rPr>
              <w:t>of</w:t>
            </w:r>
            <w:proofErr w:type="spellEnd"/>
            <w:r w:rsidRPr="00E8250C">
              <w:rPr>
                <w:i/>
                <w:iCs/>
              </w:rPr>
              <w:t xml:space="preserve"> </w:t>
            </w:r>
            <w:proofErr w:type="spellStart"/>
            <w:r w:rsidRPr="00E8250C">
              <w:rPr>
                <w:i/>
                <w:iCs/>
              </w:rPr>
              <w:t>equal</w:t>
            </w:r>
            <w:proofErr w:type="spellEnd"/>
            <w:r w:rsidRPr="00E8250C">
              <w:rPr>
                <w:i/>
                <w:iCs/>
              </w:rPr>
              <w:t xml:space="preserve"> </w:t>
            </w:r>
            <w:proofErr w:type="spellStart"/>
            <w:r w:rsidRPr="00E8250C">
              <w:rPr>
                <w:i/>
                <w:iCs/>
              </w:rPr>
              <w:t>pay</w:t>
            </w:r>
            <w:proofErr w:type="spellEnd"/>
            <w:r w:rsidRPr="00E8250C">
              <w:rPr>
                <w:i/>
                <w:iCs/>
              </w:rPr>
              <w:t xml:space="preserve"> </w:t>
            </w:r>
            <w:proofErr w:type="spellStart"/>
            <w:r w:rsidRPr="00E8250C">
              <w:rPr>
                <w:i/>
                <w:iCs/>
              </w:rPr>
              <w:t>for</w:t>
            </w:r>
            <w:proofErr w:type="spellEnd"/>
            <w:r w:rsidRPr="00E8250C">
              <w:rPr>
                <w:i/>
                <w:iCs/>
              </w:rPr>
              <w:t xml:space="preserve"> </w:t>
            </w:r>
            <w:proofErr w:type="spellStart"/>
            <w:r w:rsidRPr="00E8250C">
              <w:rPr>
                <w:i/>
                <w:iCs/>
              </w:rPr>
              <w:t>equal</w:t>
            </w:r>
            <w:proofErr w:type="spellEnd"/>
            <w:r w:rsidRPr="00E8250C">
              <w:rPr>
                <w:i/>
                <w:iCs/>
              </w:rPr>
              <w:t xml:space="preserve"> </w:t>
            </w:r>
            <w:proofErr w:type="spellStart"/>
            <w:r w:rsidRPr="00E8250C">
              <w:rPr>
                <w:i/>
                <w:iCs/>
              </w:rPr>
              <w:t>work</w:t>
            </w:r>
            <w:proofErr w:type="spellEnd"/>
            <w:r w:rsidRPr="00E8250C">
              <w:rPr>
                <w:i/>
                <w:iCs/>
              </w:rPr>
              <w:t xml:space="preserve"> </w:t>
            </w:r>
            <w:proofErr w:type="spellStart"/>
            <w:r w:rsidRPr="00E8250C">
              <w:rPr>
                <w:i/>
                <w:iCs/>
              </w:rPr>
              <w:t>or</w:t>
            </w:r>
            <w:proofErr w:type="spellEnd"/>
            <w:r w:rsidRPr="00E8250C">
              <w:rPr>
                <w:i/>
                <w:iCs/>
              </w:rPr>
              <w:t xml:space="preserve"> </w:t>
            </w:r>
            <w:proofErr w:type="spellStart"/>
            <w:r w:rsidRPr="00E8250C">
              <w:rPr>
                <w:i/>
                <w:iCs/>
              </w:rPr>
              <w:t>work</w:t>
            </w:r>
            <w:proofErr w:type="spellEnd"/>
            <w:r w:rsidRPr="00E8250C">
              <w:rPr>
                <w:i/>
                <w:iCs/>
              </w:rPr>
              <w:t xml:space="preserve"> </w:t>
            </w:r>
            <w:proofErr w:type="spellStart"/>
            <w:r w:rsidRPr="00E8250C">
              <w:rPr>
                <w:i/>
                <w:iCs/>
              </w:rPr>
              <w:t>of</w:t>
            </w:r>
            <w:proofErr w:type="spellEnd"/>
            <w:r w:rsidRPr="00E8250C">
              <w:rPr>
                <w:i/>
                <w:iCs/>
              </w:rPr>
              <w:t xml:space="preserve"> </w:t>
            </w:r>
            <w:proofErr w:type="spellStart"/>
            <w:r w:rsidRPr="00E8250C">
              <w:rPr>
                <w:i/>
                <w:iCs/>
              </w:rPr>
              <w:t>equal</w:t>
            </w:r>
            <w:proofErr w:type="spellEnd"/>
            <w:r w:rsidRPr="00E8250C">
              <w:rPr>
                <w:i/>
                <w:iCs/>
              </w:rPr>
              <w:t xml:space="preserve"> </w:t>
            </w:r>
            <w:proofErr w:type="spellStart"/>
            <w:r w:rsidRPr="00E8250C">
              <w:rPr>
                <w:i/>
                <w:iCs/>
              </w:rPr>
              <w:t>value</w:t>
            </w:r>
            <w:proofErr w:type="spellEnd"/>
            <w:r w:rsidRPr="00E8250C">
              <w:rPr>
                <w:i/>
                <w:iCs/>
              </w:rPr>
              <w:t xml:space="preserve"> </w:t>
            </w:r>
            <w:proofErr w:type="spellStart"/>
            <w:r w:rsidRPr="00E8250C">
              <w:rPr>
                <w:i/>
                <w:iCs/>
              </w:rPr>
              <w:t>between</w:t>
            </w:r>
            <w:proofErr w:type="spellEnd"/>
            <w:r w:rsidRPr="00E8250C">
              <w:rPr>
                <w:i/>
                <w:iCs/>
              </w:rPr>
              <w:t xml:space="preserve"> </w:t>
            </w:r>
            <w:proofErr w:type="spellStart"/>
            <w:r w:rsidRPr="00E8250C">
              <w:rPr>
                <w:i/>
                <w:iCs/>
              </w:rPr>
              <w:t>men</w:t>
            </w:r>
            <w:proofErr w:type="spellEnd"/>
            <w:r w:rsidRPr="00E8250C">
              <w:rPr>
                <w:i/>
                <w:iCs/>
              </w:rPr>
              <w:t xml:space="preserve"> </w:t>
            </w:r>
            <w:proofErr w:type="spellStart"/>
            <w:r w:rsidRPr="00E8250C">
              <w:rPr>
                <w:i/>
                <w:iCs/>
              </w:rPr>
              <w:t>and</w:t>
            </w:r>
            <w:proofErr w:type="spellEnd"/>
            <w:r w:rsidRPr="00E8250C">
              <w:rPr>
                <w:i/>
                <w:iCs/>
              </w:rPr>
              <w:t xml:space="preserve"> </w:t>
            </w:r>
            <w:proofErr w:type="spellStart"/>
            <w:r w:rsidRPr="00E8250C">
              <w:rPr>
                <w:i/>
                <w:iCs/>
              </w:rPr>
              <w:t>women</w:t>
            </w:r>
            <w:proofErr w:type="spellEnd"/>
            <w:r w:rsidRPr="00E8250C">
              <w:rPr>
                <w:i/>
                <w:iCs/>
              </w:rPr>
              <w:t xml:space="preserve"> </w:t>
            </w:r>
            <w:proofErr w:type="spellStart"/>
            <w:r w:rsidRPr="00E8250C">
              <w:rPr>
                <w:i/>
                <w:iCs/>
              </w:rPr>
              <w:t>through</w:t>
            </w:r>
            <w:proofErr w:type="spellEnd"/>
            <w:r w:rsidRPr="00E8250C">
              <w:rPr>
                <w:i/>
                <w:iCs/>
              </w:rPr>
              <w:t xml:space="preserve"> </w:t>
            </w:r>
            <w:proofErr w:type="spellStart"/>
            <w:r w:rsidRPr="00E8250C">
              <w:rPr>
                <w:i/>
                <w:iCs/>
              </w:rPr>
              <w:t>pay</w:t>
            </w:r>
            <w:proofErr w:type="spellEnd"/>
            <w:r w:rsidRPr="00E8250C">
              <w:rPr>
                <w:i/>
                <w:iCs/>
              </w:rPr>
              <w:t xml:space="preserve"> </w:t>
            </w:r>
            <w:proofErr w:type="spellStart"/>
            <w:r w:rsidRPr="00E8250C">
              <w:rPr>
                <w:i/>
                <w:iCs/>
              </w:rPr>
              <w:t>transparency</w:t>
            </w:r>
            <w:proofErr w:type="spellEnd"/>
            <w:r w:rsidRPr="00E8250C">
              <w:rPr>
                <w:i/>
                <w:iCs/>
              </w:rPr>
              <w:t xml:space="preserve"> </w:t>
            </w:r>
            <w:proofErr w:type="spellStart"/>
            <w:r w:rsidRPr="00E8250C">
              <w:rPr>
                <w:i/>
                <w:iCs/>
              </w:rPr>
              <w:lastRenderedPageBreak/>
              <w:t>and</w:t>
            </w:r>
            <w:proofErr w:type="spellEnd"/>
            <w:r w:rsidRPr="00E8250C">
              <w:rPr>
                <w:i/>
                <w:iCs/>
              </w:rPr>
              <w:t xml:space="preserve"> </w:t>
            </w:r>
            <w:proofErr w:type="spellStart"/>
            <w:r w:rsidRPr="00E8250C">
              <w:rPr>
                <w:i/>
                <w:iCs/>
              </w:rPr>
              <w:t>enforcement</w:t>
            </w:r>
            <w:proofErr w:type="spellEnd"/>
            <w:r w:rsidRPr="00E8250C">
              <w:rPr>
                <w:i/>
                <w:iCs/>
              </w:rPr>
              <w:t xml:space="preserve"> </w:t>
            </w:r>
            <w:proofErr w:type="spellStart"/>
            <w:r w:rsidRPr="00E8250C">
              <w:rPr>
                <w:i/>
                <w:iCs/>
              </w:rPr>
              <w:t>mechanisms</w:t>
            </w:r>
            <w:proofErr w:type="spellEnd"/>
            <w:r w:rsidRPr="00E8250C">
              <w:t xml:space="preserve"> (COM(2021) 93 </w:t>
            </w:r>
            <w:proofErr w:type="spellStart"/>
            <w:r w:rsidRPr="00E8250C">
              <w:t>final</w:t>
            </w:r>
            <w:proofErr w:type="spellEnd"/>
            <w:r w:rsidRPr="00E8250C">
              <w:t xml:space="preserve">), tostarp tā </w:t>
            </w:r>
            <w:r w:rsidR="009C6258" w:rsidRPr="00560111">
              <w:t>paskaidrojošais ziņojums</w:t>
            </w:r>
            <w:r w:rsidRPr="00E8250C">
              <w:t>, kas ir pirms Direktīvas pieņemšanas sagatavots politikas un pamatojuma dokuments un nav juridiski saistošs pieņemtās Direktīvas interpretācijai vai piemērošanai.</w:t>
            </w:r>
          </w:p>
          <w:p w14:paraId="2EC884DE" w14:textId="77777777" w:rsidR="00D2279A" w:rsidRPr="00E8250C" w:rsidRDefault="00D2279A" w:rsidP="00E8250C">
            <w:pPr>
              <w:spacing w:line="240" w:lineRule="auto"/>
              <w:jc w:val="left"/>
            </w:pPr>
          </w:p>
          <w:p w14:paraId="3199A939" w14:textId="4C0D874D" w:rsidR="00D2279A" w:rsidRPr="00D2279A" w:rsidRDefault="00D2279A" w:rsidP="00D2279A">
            <w:pPr>
              <w:spacing w:line="240" w:lineRule="auto"/>
              <w:jc w:val="left"/>
            </w:pPr>
            <w:r w:rsidRPr="00D2279A">
              <w:t>Pašlaik notiek darbs pie iespējam</w:t>
            </w:r>
            <w:r w:rsidR="000E732C" w:rsidRPr="00560111">
              <w:t>ām izmaiņām</w:t>
            </w:r>
            <w:r w:rsidRPr="00D2279A">
              <w:t xml:space="preserve"> attiecībā uz Likumprojekta 13. panta regulējumu par kompensācijas tvērumu, 18. panta regulējumu par noilguma termiņiem, kā arī 19. panta regulējumu par tiesāšanās izdevumu atlīdzināšanu, lai nodrošinātu </w:t>
            </w:r>
            <w:r w:rsidR="001B7007">
              <w:t xml:space="preserve">vēl pilnīgāku </w:t>
            </w:r>
            <w:r w:rsidRPr="00D2279A">
              <w:t>atbilstību Direktīvas (ES) 2023/970 prasībām un Latvijas tiesību sistēmai kopumā.</w:t>
            </w:r>
          </w:p>
          <w:p w14:paraId="6EFDC4F9" w14:textId="3374988E" w:rsidR="00D2279A" w:rsidRPr="00560111" w:rsidRDefault="00D2279A" w:rsidP="00971687">
            <w:pPr>
              <w:spacing w:line="240" w:lineRule="auto"/>
            </w:pPr>
            <w:r w:rsidRPr="00D2279A">
              <w:t>Vienlaikus šajā likumprojekta izstrādes stadijā par konkrētu normu galīgo redakciju ir pāragri izteikties, jo izvērtēšana vēl turpinās. Iesniedzēja norādītie apsvērumi tiks ņemti vērā turpmākajā darba procesā.</w:t>
            </w:r>
          </w:p>
          <w:p w14:paraId="1B0D3DC7" w14:textId="6607CBFD" w:rsidR="00DC282B" w:rsidRPr="00560111" w:rsidRDefault="00DC282B" w:rsidP="00971687">
            <w:pPr>
              <w:spacing w:line="240" w:lineRule="auto"/>
            </w:pPr>
          </w:p>
          <w:p w14:paraId="54CF6E1D" w14:textId="4937CD3B" w:rsidR="00DC282B" w:rsidRPr="00DC282B" w:rsidRDefault="00DC282B" w:rsidP="00DC282B">
            <w:pPr>
              <w:spacing w:line="240" w:lineRule="auto"/>
            </w:pPr>
            <w:r w:rsidRPr="00560111">
              <w:t xml:space="preserve">Direktīvas </w:t>
            </w:r>
            <w:r w:rsidR="00BB05B4">
              <w:t xml:space="preserve">4.panta otrā daļa un </w:t>
            </w:r>
            <w:r w:rsidRPr="00560111">
              <w:t xml:space="preserve">11.pants </w:t>
            </w:r>
            <w:r w:rsidR="001B7007">
              <w:t xml:space="preserve"> - </w:t>
            </w:r>
            <w:r w:rsidRPr="00560111">
              <w:t xml:space="preserve">Direktīvas </w:t>
            </w:r>
            <w:r w:rsidR="00BB05B4" w:rsidRPr="00BB05B4">
              <w:t xml:space="preserve">4.panta otrā daļa un </w:t>
            </w:r>
            <w:r w:rsidRPr="00560111">
              <w:t>11. pants nav obligāti jāpārņem kā atsevišķa tiesību norma likumā, ja dalībvalsts nodrošina šaj</w:t>
            </w:r>
            <w:r w:rsidR="0057212C">
              <w:t>os</w:t>
            </w:r>
            <w:r w:rsidRPr="00560111">
              <w:t xml:space="preserve"> pant</w:t>
            </w:r>
            <w:r w:rsidR="0057212C">
              <w:t>os</w:t>
            </w:r>
            <w:r w:rsidRPr="00560111">
              <w:t xml:space="preserve"> paredzēto prasību efektīvu īstenošanu praksē, izmantojot citus atbilstošus </w:t>
            </w:r>
            <w:proofErr w:type="spellStart"/>
            <w:r w:rsidRPr="00560111">
              <w:t>instrumentus.</w:t>
            </w:r>
            <w:r w:rsidR="00524F87">
              <w:t>Š</w:t>
            </w:r>
            <w:r w:rsidRPr="00DC282B">
              <w:t>i</w:t>
            </w:r>
            <w:r w:rsidR="0057212C">
              <w:t>e</w:t>
            </w:r>
            <w:proofErr w:type="spellEnd"/>
            <w:r w:rsidRPr="00DC282B">
              <w:t xml:space="preserve"> pant</w:t>
            </w:r>
            <w:r w:rsidR="0057212C">
              <w:t>i</w:t>
            </w:r>
            <w:r w:rsidRPr="00DC282B">
              <w:t xml:space="preserve"> ir horizontāl</w:t>
            </w:r>
            <w:r w:rsidR="0057212C">
              <w:t>ā</w:t>
            </w:r>
            <w:r w:rsidRPr="00DC282B">
              <w:t xml:space="preserve"> atbalsta norma</w:t>
            </w:r>
            <w:r w:rsidR="0057212C">
              <w:t>s</w:t>
            </w:r>
            <w:r w:rsidRPr="00DC282B">
              <w:t>, kur</w:t>
            </w:r>
            <w:r w:rsidR="0057212C">
              <w:t>u</w:t>
            </w:r>
            <w:r w:rsidRPr="00DC282B">
              <w:t xml:space="preserve"> mērķis ir nodrošināt Direktīvas praktisku piemērošanu, nevis noteikt individuālas tiesības vai tiešus pienākumus darba devējiem vai darbiniekiem.</w:t>
            </w:r>
          </w:p>
          <w:p w14:paraId="7E0147BA" w14:textId="6448D0EA" w:rsidR="00DC282B" w:rsidRPr="00DC282B" w:rsidRDefault="00DC282B" w:rsidP="009A6849">
            <w:pPr>
              <w:spacing w:line="240" w:lineRule="auto"/>
            </w:pPr>
            <w:r w:rsidRPr="00DC282B">
              <w:t xml:space="preserve">Direktīvas </w:t>
            </w:r>
            <w:r w:rsidR="0057212C" w:rsidRPr="0057212C">
              <w:t>4.panta otrā daļa</w:t>
            </w:r>
            <w:r w:rsidR="0057212C">
              <w:t>s</w:t>
            </w:r>
            <w:r w:rsidR="0057212C" w:rsidRPr="0057212C">
              <w:t xml:space="preserve"> un </w:t>
            </w:r>
            <w:r w:rsidRPr="00DC282B">
              <w:t>11. panta prasības var tikt izpildītas ar ne</w:t>
            </w:r>
            <w:r w:rsidRPr="00DC282B">
              <w:noBreakHyphen/>
              <w:t>normatīviem pasākumiem, piemēram: vadlīnijām un metodiskajiem materiāliem,</w:t>
            </w:r>
            <w:r w:rsidR="009A6849" w:rsidRPr="00560111">
              <w:t xml:space="preserve"> </w:t>
            </w:r>
            <w:r w:rsidRPr="00DC282B">
              <w:t>apmācībām un informatīviem pasākumiem</w:t>
            </w:r>
            <w:r w:rsidR="009A6849" w:rsidRPr="00560111">
              <w:t>.</w:t>
            </w:r>
          </w:p>
          <w:p w14:paraId="06743E08" w14:textId="1ED64DD2" w:rsidR="00684861" w:rsidRPr="00560111" w:rsidRDefault="009A6849" w:rsidP="00684861">
            <w:pPr>
              <w:spacing w:line="240" w:lineRule="auto"/>
            </w:pPr>
            <w:r w:rsidRPr="00560111">
              <w:t>Ne</w:t>
            </w:r>
            <w:r w:rsidR="00DC282B" w:rsidRPr="00DC282B">
              <w:t xml:space="preserve"> visi Direktīvas panti prasa tiešu un formālu pārņemšanu likum</w:t>
            </w:r>
            <w:r w:rsidR="004F5FF5">
              <w:t xml:space="preserve">projekta </w:t>
            </w:r>
            <w:r w:rsidR="00DC282B" w:rsidRPr="00DC282B">
              <w:t xml:space="preserve"> tekstā</w:t>
            </w:r>
            <w:r w:rsidR="00BA397A">
              <w:t>. D</w:t>
            </w:r>
            <w:r w:rsidR="00DC282B" w:rsidRPr="00DC282B">
              <w:t xml:space="preserve">alībvalstīm ir rīcības brīvība izvēlēties piemērotākos īstenošanas līdzekļus, </w:t>
            </w:r>
            <w:r w:rsidR="00DC282B" w:rsidRPr="00DC282B">
              <w:lastRenderedPageBreak/>
              <w:t>ievērojot Direktīvas mērķi un efektivitātes principu.</w:t>
            </w:r>
            <w:r w:rsidR="00684861" w:rsidRPr="00560111">
              <w:t xml:space="preserve"> Lai īstenotu š</w:t>
            </w:r>
            <w:r w:rsidR="004F5FF5">
              <w:t>o</w:t>
            </w:r>
            <w:r w:rsidR="00684861" w:rsidRPr="00560111">
              <w:t xml:space="preserve"> pant</w:t>
            </w:r>
            <w:r w:rsidR="004F5FF5">
              <w:t>u</w:t>
            </w:r>
            <w:r w:rsidR="00684861" w:rsidRPr="00560111">
              <w:t xml:space="preserve">  izpildi </w:t>
            </w:r>
            <w:r w:rsidR="00C76B3F" w:rsidRPr="00560111">
              <w:t xml:space="preserve"> un </w:t>
            </w:r>
            <w:r w:rsidR="00684861" w:rsidRPr="00560111">
              <w:t xml:space="preserve">veicinātu darba devēju izpratni un atbalstītu Direktīvas prasību ieviešanu praksē, Labklājības  ministrija jau ir uzsākusi un turpinās īstenot informatīvus un izpratni veicinošus pasākumus. 2025. gadā tika īstenots tiešsaistes </w:t>
            </w:r>
            <w:proofErr w:type="spellStart"/>
            <w:r w:rsidR="00684861" w:rsidRPr="00560111">
              <w:t>vebināru</w:t>
            </w:r>
            <w:proofErr w:type="spellEnd"/>
            <w:r w:rsidR="00684861" w:rsidRPr="00560111">
              <w:t xml:space="preserve"> cikls darba devējiem</w:t>
            </w:r>
          </w:p>
          <w:p w14:paraId="347C7021" w14:textId="2A507AD4" w:rsidR="00684861" w:rsidRPr="00684861" w:rsidRDefault="00524F87" w:rsidP="00684861">
            <w:pPr>
              <w:spacing w:line="240" w:lineRule="auto"/>
            </w:pPr>
            <w:r>
              <w:t>Jau noticis t</w:t>
            </w:r>
            <w:r w:rsidR="00684861" w:rsidRPr="00684861">
              <w:t>iešsaistes semināru cikls par pārredzamu darba samaksu</w:t>
            </w:r>
            <w:r w:rsidR="00684861" w:rsidRPr="00684861">
              <w:rPr>
                <w:lang w:val="en-GB"/>
              </w:rPr>
              <w:t xml:space="preserve">: </w:t>
            </w:r>
          </w:p>
          <w:p w14:paraId="24E6824E" w14:textId="77777777" w:rsidR="00684861" w:rsidRPr="00684861" w:rsidRDefault="00684861" w:rsidP="00684861">
            <w:pPr>
              <w:numPr>
                <w:ilvl w:val="0"/>
                <w:numId w:val="1"/>
              </w:numPr>
              <w:spacing w:line="240" w:lineRule="auto"/>
            </w:pPr>
            <w:hyperlink r:id="rId21" w:history="1">
              <w:r w:rsidRPr="00684861">
                <w:rPr>
                  <w:rStyle w:val="Hyperlink"/>
                </w:rPr>
                <w:t>kas jāzina darba devējiem</w:t>
              </w:r>
            </w:hyperlink>
            <w:r w:rsidRPr="00684861">
              <w:t xml:space="preserve"> (17.06.2025.)</w:t>
            </w:r>
          </w:p>
          <w:p w14:paraId="3A21BC7F" w14:textId="77777777" w:rsidR="00684861" w:rsidRPr="00684861" w:rsidRDefault="00684861" w:rsidP="00684861">
            <w:pPr>
              <w:numPr>
                <w:ilvl w:val="0"/>
                <w:numId w:val="1"/>
              </w:numPr>
              <w:spacing w:line="240" w:lineRule="auto"/>
            </w:pPr>
            <w:hyperlink r:id="rId22" w:history="1">
              <w:r w:rsidRPr="00684861">
                <w:rPr>
                  <w:rStyle w:val="Hyperlink"/>
                </w:rPr>
                <w:t xml:space="preserve">kā veidot taisnīgu amatu vērtēšanas un atalgojuma sistēmu </w:t>
              </w:r>
            </w:hyperlink>
            <w:r w:rsidRPr="00684861">
              <w:t>(22.08.2025.)</w:t>
            </w:r>
          </w:p>
          <w:p w14:paraId="3B492147" w14:textId="77777777" w:rsidR="00684861" w:rsidRPr="00684861" w:rsidRDefault="00684861" w:rsidP="00684861">
            <w:pPr>
              <w:numPr>
                <w:ilvl w:val="0"/>
                <w:numId w:val="1"/>
              </w:numPr>
              <w:spacing w:line="240" w:lineRule="auto"/>
            </w:pPr>
            <w:hyperlink r:id="rId23" w:history="1">
              <w:r w:rsidRPr="00684861">
                <w:rPr>
                  <w:rStyle w:val="Hyperlink"/>
                </w:rPr>
                <w:t>kā komunicēt ar darbiniekiem par darba samaksu</w:t>
              </w:r>
            </w:hyperlink>
            <w:r w:rsidRPr="00684861">
              <w:t xml:space="preserve"> (19.09.2025.)</w:t>
            </w:r>
          </w:p>
          <w:p w14:paraId="7F8E675F" w14:textId="77777777" w:rsidR="00684861" w:rsidRPr="00684861" w:rsidRDefault="00684861" w:rsidP="00684861">
            <w:pPr>
              <w:numPr>
                <w:ilvl w:val="0"/>
                <w:numId w:val="1"/>
              </w:numPr>
              <w:spacing w:line="240" w:lineRule="auto"/>
            </w:pPr>
            <w:r w:rsidRPr="00684861">
              <w:t>semināru video ierakst</w:t>
            </w:r>
            <w:proofErr w:type="spellStart"/>
            <w:r w:rsidRPr="00684861">
              <w:rPr>
                <w:lang w:val="en-GB"/>
              </w:rPr>
              <w:t>i</w:t>
            </w:r>
            <w:proofErr w:type="spellEnd"/>
            <w:r w:rsidRPr="00684861">
              <w:rPr>
                <w:lang w:val="en-GB"/>
              </w:rPr>
              <w:t xml:space="preserve"> </w:t>
            </w:r>
            <w:hyperlink r:id="rId24" w:history="1">
              <w:r w:rsidRPr="00684861">
                <w:rPr>
                  <w:rStyle w:val="Hyperlink"/>
                  <w:lang w:val="en-GB"/>
                </w:rPr>
                <w:t>p</w:t>
              </w:r>
            </w:hyperlink>
            <w:hyperlink r:id="rId25" w:history="1">
              <w:r w:rsidRPr="00684861">
                <w:rPr>
                  <w:rStyle w:val="Hyperlink"/>
                </w:rPr>
                <w:t>ieeja</w:t>
              </w:r>
            </w:hyperlink>
            <w:hyperlink r:id="rId26" w:history="1">
              <w:r w:rsidRPr="00684861">
                <w:rPr>
                  <w:rStyle w:val="Hyperlink"/>
                  <w:lang w:val="en-GB"/>
                </w:rPr>
                <w:t>mi</w:t>
              </w:r>
            </w:hyperlink>
            <w:hyperlink r:id="rId27" w:history="1">
              <w:r w:rsidRPr="00684861">
                <w:rPr>
                  <w:rStyle w:val="Hyperlink"/>
                </w:rPr>
                <w:t xml:space="preserve"> </w:t>
              </w:r>
            </w:hyperlink>
            <w:r w:rsidRPr="00684861">
              <w:rPr>
                <w:lang w:val="en-GB"/>
              </w:rPr>
              <w:t xml:space="preserve">Labklājības </w:t>
            </w:r>
            <w:proofErr w:type="spellStart"/>
            <w:r w:rsidRPr="00684861">
              <w:rPr>
                <w:lang w:val="en-GB"/>
              </w:rPr>
              <w:t>ministrijas</w:t>
            </w:r>
            <w:proofErr w:type="spellEnd"/>
            <w:r w:rsidRPr="00684861">
              <w:rPr>
                <w:lang w:val="en-GB"/>
              </w:rPr>
              <w:t xml:space="preserve"> </w:t>
            </w:r>
            <w:r w:rsidRPr="00684861">
              <w:t xml:space="preserve">tīmekļvietnē un </w:t>
            </w:r>
            <w:proofErr w:type="spellStart"/>
            <w:r w:rsidRPr="00684861">
              <w:t>Youtube</w:t>
            </w:r>
            <w:proofErr w:type="spellEnd"/>
            <w:r w:rsidRPr="00684861">
              <w:t xml:space="preserve"> kanālā</w:t>
            </w:r>
          </w:p>
          <w:p w14:paraId="1520ABC3" w14:textId="77777777" w:rsidR="00684861" w:rsidRPr="00684861" w:rsidRDefault="00684861" w:rsidP="00684861">
            <w:pPr>
              <w:spacing w:line="240" w:lineRule="auto"/>
            </w:pPr>
            <w:r w:rsidRPr="00684861">
              <w:t xml:space="preserve"> Tāpat 2025.gada 30. oktobrī notika </w:t>
            </w:r>
            <w:hyperlink r:id="rId28" w:history="1">
              <w:r w:rsidRPr="00684861">
                <w:rPr>
                  <w:rStyle w:val="Hyperlink"/>
                </w:rPr>
                <w:t xml:space="preserve">Konference par pārredzamu darba samaksu </w:t>
              </w:r>
            </w:hyperlink>
          </w:p>
          <w:p w14:paraId="216A223F" w14:textId="77777777" w:rsidR="00684861" w:rsidRPr="00684861" w:rsidRDefault="00684861" w:rsidP="00684861">
            <w:pPr>
              <w:spacing w:line="240" w:lineRule="auto"/>
            </w:pPr>
            <w:r w:rsidRPr="00684861">
              <w:lastRenderedPageBreak/>
              <w:t xml:space="preserve">Semināru un konferences videoieraksti pieejami </w:t>
            </w:r>
            <w:hyperlink r:id="rId29" w:history="1">
              <w:r w:rsidRPr="00684861">
                <w:rPr>
                  <w:rStyle w:val="Hyperlink"/>
                </w:rPr>
                <w:t xml:space="preserve">Labklājības ministrijas </w:t>
              </w:r>
            </w:hyperlink>
            <w:hyperlink r:id="rId30" w:history="1">
              <w:proofErr w:type="spellStart"/>
              <w:r w:rsidRPr="00684861">
                <w:rPr>
                  <w:rStyle w:val="Hyperlink"/>
                </w:rPr>
                <w:t>Youtube</w:t>
              </w:r>
              <w:proofErr w:type="spellEnd"/>
            </w:hyperlink>
            <w:hyperlink r:id="rId31" w:history="1">
              <w:r w:rsidRPr="00684861">
                <w:rPr>
                  <w:rStyle w:val="Hyperlink"/>
                </w:rPr>
                <w:t xml:space="preserve"> kanālā</w:t>
              </w:r>
            </w:hyperlink>
            <w:r w:rsidRPr="00684861">
              <w:t>.</w:t>
            </w:r>
          </w:p>
          <w:p w14:paraId="7FB08C85" w14:textId="77777777" w:rsidR="00684861" w:rsidRPr="00684861" w:rsidRDefault="00684861" w:rsidP="00684861">
            <w:pPr>
              <w:spacing w:line="240" w:lineRule="auto"/>
            </w:pPr>
            <w:r w:rsidRPr="00684861">
              <w:t>Šie pasākumi sniedza gan tiesisko, gan praktisko skatījumu uz taisnīgu amatu vērtēšanu, darba samaksas sistēmu veidošanu un komunikāciju ar darbiniekiem .</w:t>
            </w:r>
          </w:p>
          <w:p w14:paraId="330BCF04" w14:textId="77777777" w:rsidR="00684861" w:rsidRPr="00684861" w:rsidRDefault="00684861" w:rsidP="00684861">
            <w:pPr>
              <w:spacing w:line="240" w:lineRule="auto"/>
            </w:pPr>
            <w:r w:rsidRPr="00684861">
              <w:t xml:space="preserve">Papildus tiek izstrādātas praktiskas vadlīnijas darba devējiem, kas balstīsies uz Direktīvas  prasībām, Latvijas normatīvo regulējumu, EIGE vadlīnijām un citu valstu labās prakses piemēriem. Vadlīnijas paredzētas kā ne-normatīvs atbalsta instruments, ietverot strukturētu rīcības modeli pārredzamas un </w:t>
            </w:r>
            <w:proofErr w:type="spellStart"/>
            <w:r w:rsidRPr="00684861">
              <w:t>dzimumneitrālas</w:t>
            </w:r>
            <w:proofErr w:type="spellEnd"/>
            <w:r w:rsidRPr="00684861">
              <w:t xml:space="preserve"> darba samaksas sistēmas izveidei, un tiks izmantotas Direktīvas ieviešanas atbalstam ESF+ projekta “Vienlīdzīgu iespēju un </w:t>
            </w:r>
            <w:proofErr w:type="spellStart"/>
            <w:r w:rsidRPr="00684861">
              <w:t>nediskriminācijas</w:t>
            </w:r>
            <w:proofErr w:type="spellEnd"/>
            <w:r w:rsidRPr="00684861">
              <w:t xml:space="preserve"> veicināšana” ietvaros.</w:t>
            </w:r>
          </w:p>
          <w:p w14:paraId="634CE277" w14:textId="67119A4D" w:rsidR="00DC282B" w:rsidRPr="00DC282B" w:rsidRDefault="00DC282B" w:rsidP="00DC282B">
            <w:pPr>
              <w:spacing w:line="240" w:lineRule="auto"/>
            </w:pPr>
          </w:p>
          <w:p w14:paraId="54299ACD" w14:textId="1798E060" w:rsidR="00DC282B" w:rsidRPr="00D2279A" w:rsidRDefault="00DC282B" w:rsidP="00971687">
            <w:pPr>
              <w:spacing w:line="240" w:lineRule="auto"/>
            </w:pPr>
          </w:p>
          <w:p w14:paraId="6243F6CE" w14:textId="7F957B11" w:rsidR="00E8250C" w:rsidRPr="00560111" w:rsidRDefault="00E8250C">
            <w:pPr>
              <w:spacing w:line="240" w:lineRule="auto"/>
              <w:jc w:val="left"/>
            </w:pPr>
          </w:p>
        </w:tc>
      </w:tr>
      <w:tr w:rsidR="00075F8E" w14:paraId="6B2EE561" w14:textId="77777777">
        <w:tc>
          <w:tcPr>
            <w:tcW w:w="750" w:type="dxa"/>
            <w:shd w:val="clear" w:color="auto" w:fill="FFFFFF"/>
            <w:noWrap/>
            <w:tcMar>
              <w:top w:w="0" w:type="dxa"/>
              <w:left w:w="0" w:type="dxa"/>
              <w:bottom w:w="0" w:type="dxa"/>
              <w:right w:w="0" w:type="dxa"/>
            </w:tcMar>
            <w:vAlign w:val="center"/>
          </w:tcPr>
          <w:p w14:paraId="56F0A9E5" w14:textId="77777777" w:rsidR="00075F8E" w:rsidRDefault="00CE0661">
            <w:pPr>
              <w:spacing w:line="240" w:lineRule="auto"/>
              <w:jc w:val="center"/>
            </w:pPr>
            <w:r>
              <w:lastRenderedPageBreak/>
              <w:t>4.</w:t>
            </w:r>
          </w:p>
        </w:tc>
        <w:tc>
          <w:tcPr>
            <w:tcW w:w="4055" w:type="dxa"/>
            <w:shd w:val="clear" w:color="auto" w:fill="FFFFFF"/>
            <w:noWrap/>
            <w:tcMar>
              <w:top w:w="0" w:type="dxa"/>
              <w:left w:w="0" w:type="dxa"/>
              <w:bottom w:w="0" w:type="dxa"/>
              <w:right w:w="0" w:type="dxa"/>
            </w:tcMar>
            <w:vAlign w:val="center"/>
          </w:tcPr>
          <w:p w14:paraId="69B2A3F6" w14:textId="77777777" w:rsidR="00075F8E" w:rsidRDefault="00CE0661">
            <w:pPr>
              <w:spacing w:line="240" w:lineRule="auto"/>
              <w:jc w:val="left"/>
            </w:pPr>
            <w:r>
              <w:t>SIA "Rīgas Austrumu klīniskā universitātes slimnīca"</w:t>
            </w:r>
          </w:p>
        </w:tc>
        <w:tc>
          <w:tcPr>
            <w:tcW w:w="4056" w:type="dxa"/>
            <w:shd w:val="clear" w:color="auto" w:fill="FFFFFF"/>
            <w:noWrap/>
            <w:tcMar>
              <w:top w:w="0" w:type="dxa"/>
              <w:left w:w="0" w:type="dxa"/>
              <w:bottom w:w="0" w:type="dxa"/>
              <w:right w:w="0" w:type="dxa"/>
            </w:tcMar>
            <w:vAlign w:val="center"/>
          </w:tcPr>
          <w:p w14:paraId="0548F22E" w14:textId="77777777" w:rsidR="00075F8E" w:rsidRDefault="00CE0661">
            <w:pPr>
              <w:spacing w:line="240" w:lineRule="auto"/>
              <w:jc w:val="left"/>
            </w:pPr>
            <w:r>
              <w:t>SIA “Rīgas Austrumu klīniskā universitātes slimnīca” iesniedz šādus iebildumus par tiesību akta projektu:</w:t>
            </w:r>
            <w:r>
              <w:br/>
            </w:r>
            <w:r>
              <w:br/>
            </w:r>
            <w:r>
              <w:rPr>
                <w:b/>
                <w:i/>
              </w:rPr>
              <w:t>[1] Likumprojekta 10.panta sestajā daļā ir noteikts, ka “Ministru kabinets nosaka kārtību un veidu, kādā darba devēji iesniedz informāciju par nodarbināto sieviešu un vīriešu darba samaksas atšķirību”.</w:t>
            </w:r>
            <w:r>
              <w:br/>
              <w:t>Pārejas noteikumu 6.punktā ir noteikts, ka Ministru kabinets līdz 2027. gada 1.maijam izdod šā likuma 10. panta sestajā daļā minētos noteikumus.</w:t>
            </w:r>
            <w:r>
              <w:br/>
              <w:t xml:space="preserve">Savukārt pārejas noteikumu 1. punktā ir noteikts, ka Darba devējs, kuram ir 250 nodarbināto vai vairāk, līdz 2027. gada 7. </w:t>
            </w:r>
            <w:r>
              <w:lastRenderedPageBreak/>
              <w:t>jūnijam un pēc tam katru gadu sniedz šā likuma 10. panta pirmajā daļā minēto informāciju attiecībā uz iepriekšējo kalendāro gadu.</w:t>
            </w:r>
            <w:r>
              <w:br/>
              <w:t>Norādāms ka šāds termiņu savstarpējais nesamērīgums rada būtiskus īstenošanas riskus, jo darba devējiem, īpaši ar lielu nodarbināto skaitu (kā tas ir SIA “Rīgas Austrumu klīniskā universitātes slimnīca”, virs 5000 nodarbināto), objektīvi nav iespējams tik īsā laikā nodrošināt nepieciešamo datu apkopošanu, sistēmu pielāgošanu un metodikas ieviešanu.</w:t>
            </w:r>
            <w:r>
              <w:br/>
            </w:r>
            <w:r>
              <w:rPr>
                <w:b/>
              </w:rPr>
              <w:t>Aicinām paredzēt pietiekamu pārejas periodu pēc Ministru kabineta noteikumu spēkā stāšanās. </w:t>
            </w:r>
            <w:r>
              <w:br/>
            </w:r>
            <w:r>
              <w:rPr>
                <w:b/>
                <w:i/>
              </w:rPr>
              <w:t>[2] Likumprojekta 16. pantā lietotais jēdziens “vienots informācijas avots” nav pietiekami skaidri definēts, kas rada tiesisko nenoteiktību un interpretācijas riskus.</w:t>
            </w:r>
            <w:r>
              <w:br/>
              <w:t xml:space="preserve">Šāda pieeja var nepamatoti paplašināt salīdzināmo personu </w:t>
            </w:r>
            <w:r>
              <w:lastRenderedPageBreak/>
              <w:t>loku ārpus viena darba devēja ietvara, lai gan praksē, piemēram, dažādās ārstniecības iestādēs (slimnīcās) darba samaksas nosacījumi nav objektīvi salīdzināmi, ņemot vērā atšķirīgu finansējumu, organizatorisko struktūru un atlīdzības sistēmas.</w:t>
            </w:r>
            <w:r>
              <w:br/>
              <w:t>Lai arī likumprojekta anotācijā sniegts skaidrojums, ka “vienots informācijas avots” saistāms ar centralizētu un nemainīgi piemērojamu darba samaksas noteikšanas sistēmu, šāds skaidrojums nav normatīvi saistošs un pilnībā nenovērš interpretācijas riskus. Turklāt anotācijā ietvertais regulējuma skaidrojums paplašina salīdzināšanas iespējas (tai skaitā laikā un izmantojot statistikas datus), kas vēl vairāk pastiprina tiesiskās nenoteiktības risku darba devējiem.</w:t>
            </w:r>
            <w:r>
              <w:br/>
              <w:t xml:space="preserve">Līdz ar to </w:t>
            </w:r>
            <w:r>
              <w:rPr>
                <w:b/>
              </w:rPr>
              <w:t xml:space="preserve">aicinām precizēt jēdzienu “vienots informācijas avots” likumprojekta tekstā, nosakot skaidrus piemērošanas kritērijus vai ierobežot tā </w:t>
            </w:r>
            <w:r>
              <w:rPr>
                <w:b/>
              </w:rPr>
              <w:lastRenderedPageBreak/>
              <w:t>piemērošanu, nodrošinot paredzamu un vienveidīgu normas piemērošanu praksē.</w:t>
            </w:r>
            <w:r>
              <w:br/>
            </w:r>
            <w:r>
              <w:br/>
            </w:r>
            <w:r>
              <w:rPr>
                <w:b/>
                <w:i/>
              </w:rPr>
              <w:t xml:space="preserve">[3] Likumprojekta 20. pants paredz, ka darba samaksas </w:t>
            </w:r>
            <w:proofErr w:type="spellStart"/>
            <w:r>
              <w:rPr>
                <w:b/>
                <w:i/>
              </w:rPr>
              <w:t>pārredzamības</w:t>
            </w:r>
            <w:proofErr w:type="spellEnd"/>
            <w:r>
              <w:rPr>
                <w:b/>
                <w:i/>
              </w:rPr>
              <w:t xml:space="preserve"> pienākumu neizpilde vai nepamatota darba samaksas atšķirība virs 5% var kalpot par pamatu izslēgšanai no publiskajiem iepirkumiem.</w:t>
            </w:r>
            <w:r>
              <w:br/>
              <w:t>Norādāms, ka šāds regulējums neatbilst samērīguma principam, jo izslēgšana no publiskajiem iepirkumiem ir viena no smagākajām sankcijām ar būtisku ekonomisko ietekmi uz darba devēju. Vienlaikus darba samaksas atšķirību konstatēšana un to pamatojuma izvērtēšana ir komplekss un interpretējams process, kas ir atkarīgs no piemērotās metodikas, datu kvalitātes un nodarbināto kategoriju noteikšanas.</w:t>
            </w:r>
            <w:r>
              <w:br/>
              <w:t xml:space="preserve">Papildus norādāms, ka šāda pieeja neatbilst Publisko iepirkumu likums 42. pants otrās daļas 8. </w:t>
            </w:r>
            <w:r>
              <w:lastRenderedPageBreak/>
              <w:t>punkts ietvertajam principam, saskaņā ar kuru izslēgšana no iepirkuma procedūras ir pieļaujama, ja pasūtītājs ar atbilstošiem līdzekļiem var pierādīt pārkāpumu sociālo vai darba tiesību jomā.</w:t>
            </w:r>
            <w:r>
              <w:br/>
              <w:t xml:space="preserve">Savukārt likumprojekta regulējums pieļauj izslēgšanu arī situācijās, kur pārkāpums vēl nav pietiekami konstatēts vai tā </w:t>
            </w:r>
            <w:proofErr w:type="spellStart"/>
            <w:r>
              <w:t>izvērtējums</w:t>
            </w:r>
            <w:proofErr w:type="spellEnd"/>
            <w:r>
              <w:t xml:space="preserve"> ir interpretējams, tādējādi radot tiesisko nenoteiktību.</w:t>
            </w:r>
            <w:r>
              <w:br/>
              <w:t>Tādējādi norma var radīt nesamērīgas sekas, tostarp izslēgšanu no publiskajiem iepirkumiem arī gadījumos, kad pārkāpums nav būtisks vai nav galīgi konstatēts.</w:t>
            </w:r>
          </w:p>
        </w:tc>
        <w:tc>
          <w:tcPr>
            <w:tcW w:w="1650" w:type="dxa"/>
            <w:shd w:val="clear" w:color="auto" w:fill="FFFFFF"/>
            <w:noWrap/>
            <w:tcMar>
              <w:top w:w="0" w:type="dxa"/>
              <w:left w:w="0" w:type="dxa"/>
              <w:bottom w:w="0" w:type="dxa"/>
              <w:right w:w="0" w:type="dxa"/>
            </w:tcMar>
            <w:vAlign w:val="center"/>
          </w:tcPr>
          <w:p w14:paraId="5A7F9212" w14:textId="43EAF040" w:rsidR="00075F8E" w:rsidRDefault="007F7E77">
            <w:pPr>
              <w:spacing w:line="240" w:lineRule="auto"/>
              <w:jc w:val="left"/>
            </w:pPr>
            <w:r>
              <w:lastRenderedPageBreak/>
              <w:t xml:space="preserve">Nav ņemts </w:t>
            </w:r>
            <w:r w:rsidR="00174040">
              <w:t xml:space="preserve">vērā </w:t>
            </w:r>
          </w:p>
        </w:tc>
        <w:tc>
          <w:tcPr>
            <w:tcW w:w="4056" w:type="dxa"/>
            <w:shd w:val="clear" w:color="auto" w:fill="FFFFFF"/>
            <w:noWrap/>
            <w:tcMar>
              <w:top w:w="0" w:type="dxa"/>
              <w:left w:w="0" w:type="dxa"/>
              <w:bottom w:w="0" w:type="dxa"/>
              <w:right w:w="0" w:type="dxa"/>
            </w:tcMar>
            <w:vAlign w:val="center"/>
          </w:tcPr>
          <w:p w14:paraId="719EB21A" w14:textId="340495C2" w:rsidR="00174040" w:rsidRDefault="00174040" w:rsidP="00174040">
            <w:pPr>
              <w:spacing w:line="240" w:lineRule="auto"/>
              <w:jc w:val="left"/>
            </w:pPr>
            <w:r>
              <w:t>Iebildumi izvērtēti.</w:t>
            </w:r>
          </w:p>
          <w:p w14:paraId="3F0D8014" w14:textId="6403820D" w:rsidR="00174040" w:rsidRDefault="00174040" w:rsidP="00F140C1">
            <w:pPr>
              <w:spacing w:line="240" w:lineRule="auto"/>
            </w:pPr>
            <w:r w:rsidRPr="00174040">
              <w:t xml:space="preserve">Iesniedzamās informācijas apjoms, saturs un ar to saistīto jēdzienu skaidrojums ir noteikts </w:t>
            </w:r>
            <w:r w:rsidRPr="00F140C1">
              <w:t>Direktīvā, kā arī attiecīgi pārņemts likumprojektā, tostarp 10. panta pirmajā daļā. Ministru kabineta noteikumi saskaņā ar 10. panta sesto daļu paredzēs tikai informācijas iesniegšanas veidu un kārtību, nevis paplašinās vai</w:t>
            </w:r>
            <w:r w:rsidRPr="00174040">
              <w:t xml:space="preserve"> precizēs iesniedzamās informācijas apjomu vai būtību. Līdz ar to noteiktais termiņu regulējums neietekmē darba devēju pienākumu saturu un ir atbilstošs Direktīvas ieviešanas prasībā</w:t>
            </w:r>
            <w:r w:rsidR="007F7E77">
              <w:t>m</w:t>
            </w:r>
            <w:r w:rsidRPr="00174040">
              <w:t>.</w:t>
            </w:r>
          </w:p>
          <w:p w14:paraId="75A11ADD" w14:textId="409090F0" w:rsidR="00AE7571" w:rsidRDefault="00AE7571" w:rsidP="00174040">
            <w:pPr>
              <w:spacing w:line="240" w:lineRule="auto"/>
              <w:jc w:val="left"/>
            </w:pPr>
          </w:p>
          <w:p w14:paraId="0113FD9D" w14:textId="38D19440" w:rsidR="00AE7571" w:rsidRPr="00F140C1" w:rsidRDefault="00AE7571" w:rsidP="00F140C1">
            <w:pPr>
              <w:spacing w:line="240" w:lineRule="auto"/>
            </w:pPr>
            <w:r w:rsidRPr="00F140C1">
              <w:t xml:space="preserve">Likumprojekta 16. pantā lietotais jēdziens “vienots informācijas avots” nav paredzēts kā patstāvīgs </w:t>
            </w:r>
            <w:r w:rsidRPr="00F140C1">
              <w:lastRenderedPageBreak/>
              <w:t>tiesību jēdziens ar normatīvu saturu, bet kalpo kā tehnisks apzīmējums, lai raksturotu situāciju, kad darba samaksas dati tiek iegūti no vienas, centralizētas un konsekventi piemērotas darba samaksas noteikšanas sistēmas. Šāds skaidrojums ir sniegts likumprojekta anotācijā.</w:t>
            </w:r>
          </w:p>
          <w:p w14:paraId="76F52621" w14:textId="5EDE46BD" w:rsidR="00AE7571" w:rsidRPr="00F140C1" w:rsidRDefault="00AE7571" w:rsidP="00F140C1">
            <w:pPr>
              <w:spacing w:line="240" w:lineRule="auto"/>
            </w:pPr>
            <w:r w:rsidRPr="00F140C1">
              <w:t xml:space="preserve">Direktīva neprasa dalībvalstīm definēt “informācijas avotu” likuma līmenī, bet uzsver darba samaksas salīdzināmību, balstoties uz objektīviem un </w:t>
            </w:r>
            <w:proofErr w:type="spellStart"/>
            <w:r w:rsidRPr="00F140C1">
              <w:t>dzimumneitrāliem</w:t>
            </w:r>
            <w:proofErr w:type="spellEnd"/>
            <w:r w:rsidRPr="00F140C1">
              <w:t xml:space="preserve"> kritērijiem. Līdz ar to detalizētas definīcijas iekļaušana likuma tekstā nav nepieciešama un varētu nepamatoti ierobežot dažādu darba samaksas sistēmu piemērošanu praksē. Anotācijā sniegtais skaidrojums ir pietiekams normas pareizai izpratnei un piemērošanai.</w:t>
            </w:r>
          </w:p>
          <w:p w14:paraId="05151C63" w14:textId="77777777" w:rsidR="00AE7571" w:rsidRPr="00F140C1" w:rsidRDefault="00AE7571" w:rsidP="00F140C1">
            <w:pPr>
              <w:spacing w:line="240" w:lineRule="auto"/>
            </w:pPr>
          </w:p>
          <w:p w14:paraId="3098371D" w14:textId="77777777" w:rsidR="00C84C33" w:rsidRPr="00F140C1" w:rsidRDefault="00C84C33" w:rsidP="00F140C1">
            <w:pPr>
              <w:spacing w:line="240" w:lineRule="auto"/>
            </w:pPr>
            <w:r w:rsidRPr="00F140C1">
              <w:t xml:space="preserve">Likumprojekta 20. pants ir izstrādāts ciešā sadarbībā ar Finanšu ministriju un atbilst Direktīvas (ES) 2023/970 pieejai, kas paredz dalībvalstīm iespēju precizēt jau esošo publisko </w:t>
            </w:r>
            <w:r w:rsidRPr="00F140C1">
              <w:lastRenderedPageBreak/>
              <w:t>iepirkumu regulējumu, konkretizējot, kas uzskatāms par normatīvo aktu pārkāpumu vides, sociālo vai darba tiesību jomā, tostarp Publisko iepirkumu likuma 42. panta otrās daļas 8. punkta izpratnē.</w:t>
            </w:r>
          </w:p>
          <w:p w14:paraId="5A871279" w14:textId="7C513CDB" w:rsidR="00C84C33" w:rsidRPr="00F140C1" w:rsidRDefault="00C84C33" w:rsidP="00F140C1">
            <w:pPr>
              <w:spacing w:line="240" w:lineRule="auto"/>
            </w:pPr>
            <w:r w:rsidRPr="00F140C1">
              <w:t>Direktīva paredz, ka šāda izslēgšanas pamata piemērošana nav automātiska, bet ir atkarīga no pasūtītāja izvēles – pasūtītājam tas iepriekš jānorāda paziņojumā par līgumu vai iepirkuma procedūras dokumentos, kā arī pārkāpums jāpierāda ar jebkādiem atbilstošiem līdzekļiem. Likumprojekts šo pieeju pārņem, neparedzot mehānisku vai obligātu izslēgšanu un saglabājot Publisko iepirkumu likumā nostiprināto samērīguma un individuālas izvērtēšanas principu.</w:t>
            </w:r>
          </w:p>
          <w:p w14:paraId="6B13A1B1" w14:textId="77777777" w:rsidR="00075F8E" w:rsidRDefault="00075F8E">
            <w:pPr>
              <w:spacing w:line="240" w:lineRule="auto"/>
              <w:jc w:val="left"/>
            </w:pPr>
          </w:p>
        </w:tc>
      </w:tr>
      <w:tr w:rsidR="00075F8E" w14:paraId="1BF37A2E" w14:textId="77777777">
        <w:tc>
          <w:tcPr>
            <w:tcW w:w="750" w:type="dxa"/>
            <w:shd w:val="clear" w:color="auto" w:fill="FFFFFF"/>
            <w:noWrap/>
            <w:tcMar>
              <w:top w:w="0" w:type="dxa"/>
              <w:left w:w="0" w:type="dxa"/>
              <w:bottom w:w="0" w:type="dxa"/>
              <w:right w:w="0" w:type="dxa"/>
            </w:tcMar>
            <w:vAlign w:val="center"/>
          </w:tcPr>
          <w:p w14:paraId="0122B19A" w14:textId="77777777" w:rsidR="00075F8E" w:rsidRDefault="00CE0661">
            <w:pPr>
              <w:spacing w:line="240" w:lineRule="auto"/>
              <w:jc w:val="center"/>
            </w:pPr>
            <w:r>
              <w:lastRenderedPageBreak/>
              <w:t>5.</w:t>
            </w:r>
          </w:p>
        </w:tc>
        <w:tc>
          <w:tcPr>
            <w:tcW w:w="4055" w:type="dxa"/>
            <w:shd w:val="clear" w:color="auto" w:fill="FFFFFF"/>
            <w:noWrap/>
            <w:tcMar>
              <w:top w:w="0" w:type="dxa"/>
              <w:left w:w="0" w:type="dxa"/>
              <w:bottom w:w="0" w:type="dxa"/>
              <w:right w:w="0" w:type="dxa"/>
            </w:tcMar>
            <w:vAlign w:val="center"/>
          </w:tcPr>
          <w:p w14:paraId="2B04220F" w14:textId="77777777" w:rsidR="00075F8E" w:rsidRDefault="00CE0661">
            <w:pPr>
              <w:spacing w:line="240" w:lineRule="auto"/>
              <w:jc w:val="left"/>
            </w:pPr>
            <w:r>
              <w:t>Latvijas Sieviešu nevalstisko organizāciju sadarbības tīkls</w:t>
            </w:r>
          </w:p>
        </w:tc>
        <w:tc>
          <w:tcPr>
            <w:tcW w:w="4056" w:type="dxa"/>
            <w:shd w:val="clear" w:color="auto" w:fill="FFFFFF"/>
            <w:noWrap/>
            <w:tcMar>
              <w:top w:w="0" w:type="dxa"/>
              <w:left w:w="0" w:type="dxa"/>
              <w:bottom w:w="0" w:type="dxa"/>
              <w:right w:w="0" w:type="dxa"/>
            </w:tcMar>
            <w:vAlign w:val="center"/>
          </w:tcPr>
          <w:p w14:paraId="589B6D5E" w14:textId="77777777" w:rsidR="00075F8E" w:rsidRDefault="00CE0661">
            <w:pPr>
              <w:spacing w:line="240" w:lineRule="auto"/>
              <w:jc w:val="left"/>
            </w:pPr>
            <w:r>
              <w:t>Biedrība “Latvijas Sieviešu nevalstisko organizāciju sadarbības tīkls” piedāvā sekojošus uzlabojumus likumprojektam un būtisku instrumentu ieviešanu, balstoties mūsu ekspertīzē:</w:t>
            </w:r>
            <w:r>
              <w:br/>
              <w:t xml:space="preserve">1. Darba samaksas atšķirību novēršanas pienākums – nosakot pienākumu darba devējiem izstrādāt konkrētu pasākumu plānu </w:t>
            </w:r>
            <w:r>
              <w:lastRenderedPageBreak/>
              <w:t>un noteiktā termiņā novērst nepamatotas darba samaksas atšķirības.</w:t>
            </w:r>
            <w:r>
              <w:br/>
              <w:t>2. Dzimumu līdztiesības audits - lielākiem darba devējiem paredzēt regulāru auditu, lai identificētu strukturālas nevienlīdzības.</w:t>
            </w:r>
            <w:r>
              <w:br/>
              <w:t xml:space="preserve">3. Publiska </w:t>
            </w:r>
            <w:proofErr w:type="spellStart"/>
            <w:r>
              <w:t>pārredzamība</w:t>
            </w:r>
            <w:proofErr w:type="spellEnd"/>
            <w:r>
              <w:t xml:space="preserve"> - noteikta pienākuma paplašināšana publiskot darba samaksas atšķirību datus, tādējādi veicinot sabiedrības informētību un darba devēju atbildību.</w:t>
            </w:r>
            <w:r>
              <w:br/>
              <w:t>4. Aizsardzība pēc bērna kopšanas atvaļinājuma - stiprināta aizsardzība personām, kas izmantojušas ar ģimenes aprūpi saistītus atvaļinājumus, novēršot netiešu diskrimināciju.</w:t>
            </w:r>
            <w:r>
              <w:br/>
              <w:t>5. Sankciju sistēma - noteikti administratīvie sodi par likuma prasību neievērošanu, nodrošinot atturošu efektu.</w:t>
            </w:r>
            <w:r>
              <w:br/>
              <w:t>6. Apmācības darba devējiem. </w:t>
            </w:r>
            <w:r>
              <w:br/>
              <w:t>1/Jauns pants – pienākums novērst darba samaksas atšķirības</w:t>
            </w:r>
            <w:r>
              <w:br/>
              <w:t>Piedāvājam papildināt 10. pantu ar jaunu daļu:</w:t>
            </w:r>
            <w:r>
              <w:br/>
            </w:r>
            <w:r>
              <w:lastRenderedPageBreak/>
              <w:t>10. pants. Kopīgs darba samaksas novērtējums</w:t>
            </w:r>
            <w:r>
              <w:br/>
              <w:t>papildināt ar (5), (6), (7) daļu:</w:t>
            </w:r>
            <w:r>
              <w:br/>
              <w:t>(5) Ja kopīgajā darba samaksas novērtējumā tiek konstatētas nepamatotas darba samaksas atšķirības starp nodarbinātajām sievietēm un nodarbinātajiem vīriešiem, darba devējam ir pienākums trīs mēnešu laikā izstrādāt rakstveida pasākumu plānu šo atšķirību novēršanai.</w:t>
            </w:r>
            <w:r>
              <w:br/>
              <w:t>(6) Šā panta piektajā daļā minētais pasākumu plāns ietver konkrētus pasākumus, izpildes termiņus, atbildīgās personas un izmērāmus rezultātu rādītājus.</w:t>
            </w:r>
            <w:r>
              <w:br/>
              <w:t>(7) Darba devējam ir pienākums nodrošināt, ka nepamatotās darba samaksas atšķirības tiek novērstas ne vēlāk kā 12 mēnešu laikā no pasākumu plāna apstiprināšanas dienas.</w:t>
            </w:r>
            <w:r>
              <w:br/>
            </w:r>
            <w:r>
              <w:br/>
              <w:t> 2. Sankciju konkretizācija</w:t>
            </w:r>
            <w:r>
              <w:br/>
              <w:t>Piedāvājam veidot 23.–26. pantu:</w:t>
            </w:r>
            <w:r>
              <w:br/>
              <w:t>23.pants. Informācijas par darba samaksu nesniegšana</w:t>
            </w:r>
            <w:r>
              <w:br/>
            </w:r>
            <w:r>
              <w:lastRenderedPageBreak/>
              <w:t xml:space="preserve">(1) Par piekļuves nenodrošināšanu nodarbinātajam informācijai par darba samaksas noteikšanas kritērijiem piemēro naudas sodu darba devējam no 140 līdz 1400 </w:t>
            </w:r>
            <w:proofErr w:type="spellStart"/>
            <w:r>
              <w:t>euro</w:t>
            </w:r>
            <w:proofErr w:type="spellEnd"/>
            <w:r>
              <w:t>.</w:t>
            </w:r>
            <w:r>
              <w:br/>
              <w:t xml:space="preserve">(2) Par informācijas nesniegšanu nodarbinātajam par individuālo darba samaksas līmeni un vidējās darba samaksas līmeņiem piemēro naudas sodu darba devējam no 280 līdz 2800 </w:t>
            </w:r>
            <w:proofErr w:type="spellStart"/>
            <w:r>
              <w:t>euro</w:t>
            </w:r>
            <w:proofErr w:type="spellEnd"/>
            <w:r>
              <w:t>.</w:t>
            </w:r>
            <w:r>
              <w:br/>
            </w:r>
            <w:r>
              <w:br/>
              <w:t>24. pants. Ziņošanas prasību neievērošana</w:t>
            </w:r>
            <w:r>
              <w:br/>
              <w:t xml:space="preserve">Par šā likuma 9. pantā noteiktās informācijas nesniegšanu vai nepatiesas informācijas sniegšanu piemēro naudas sodu darba devējam no 700 līdz 7000 </w:t>
            </w:r>
            <w:proofErr w:type="spellStart"/>
            <w:r>
              <w:t>euro</w:t>
            </w:r>
            <w:proofErr w:type="spellEnd"/>
            <w:r>
              <w:t>.</w:t>
            </w:r>
            <w:r>
              <w:br/>
            </w:r>
            <w:r>
              <w:br/>
              <w:t>25.pants. Kopīga darba samaksas novērtējuma neveikšana</w:t>
            </w:r>
            <w:r>
              <w:br/>
              <w:t xml:space="preserve">Par šā likuma 10. pantā noteiktā kopīgā darba samaksas novērtējuma neveikšanu piemēro naudas sodu darba devējam no 1400 līdz 14 000 </w:t>
            </w:r>
            <w:proofErr w:type="spellStart"/>
            <w:r>
              <w:t>euro</w:t>
            </w:r>
            <w:proofErr w:type="spellEnd"/>
            <w:r>
              <w:t>.</w:t>
            </w:r>
            <w:r>
              <w:br/>
            </w:r>
            <w:r>
              <w:lastRenderedPageBreak/>
              <w:br/>
              <w:t>26.pants. Vienlīdzīgas darba samaksas nenodrošināšana</w:t>
            </w:r>
            <w:r>
              <w:br/>
              <w:t xml:space="preserve">Par vienlīdzīgas darba samaksas nenodrošināšanu par tādu pašu vai vienādas vērtības darbu piemēro naudas sodu darba devējam no 1400 līdz 28 000 </w:t>
            </w:r>
            <w:proofErr w:type="spellStart"/>
            <w:r>
              <w:t>euro</w:t>
            </w:r>
            <w:proofErr w:type="spellEnd"/>
            <w:r>
              <w:t>.</w:t>
            </w:r>
            <w:r>
              <w:br/>
              <w:t>3. Jauns pants – publiska datu pieejamība</w:t>
            </w:r>
            <w:r>
              <w:br/>
              <w:t>➤ Ievietot pēc 11. panta:</w:t>
            </w:r>
            <w:r>
              <w:br/>
              <w:t>11¹ pants. Informācijas publiska pieejamība</w:t>
            </w:r>
            <w:r>
              <w:br/>
              <w:t>(1) Darba devējs, kurš nodarbina 250 vai vairāk nodarbināto, nodrošina šā likuma 9. panta pirmajā daļā minētās informācijas publisku pieejamību savā tīmekļa vietnē.</w:t>
            </w:r>
            <w:r>
              <w:br/>
              <w:t>(2) Informācija publicējama viegli pieejamā, pārskatāmā un salīdzināmā veidā.</w:t>
            </w:r>
            <w:r>
              <w:br/>
              <w:t>(3) Informācija saglabājama publiski pieejama vismaz piecus gadus.</w:t>
            </w:r>
            <w:r>
              <w:br/>
            </w:r>
            <w:r>
              <w:br/>
              <w:t> 4. Jauns pants – aizsardzība pēc bērna kopšanas atvaļinājuma</w:t>
            </w:r>
            <w:r>
              <w:br/>
            </w:r>
            <w:r>
              <w:lastRenderedPageBreak/>
              <w:t>➤ Ievietot III nodaļā:</w:t>
            </w:r>
            <w:r>
              <w:br/>
              <w:t>22¹ pants. Aizsardzība pēc ar ģimenes aprūpi saistīta atvaļinājuma</w:t>
            </w:r>
            <w:r>
              <w:br/>
              <w:t>(1) Darba devējam ir pienākums nodrošināt, ka nodarbinātajam pēc atgriešanās no grūtniecības un dzemdību atvaļinājuma, bērna kopšanas atvaļinājuma vai aprūpētāja atvaļinājuma netiek noteikta mazāk labvēlīga darba samaksa vai darba samaksas attīstības iespējas.</w:t>
            </w:r>
            <w:r>
              <w:br/>
              <w:t>(2) Darba devējs nodrošina, ka nodarbinātais saņem visus darba samaksas palielinājumus un uzlabojumus, kas būtu piemēroti, ja nodarbinātais nebūtu izmantojis šā panta pirmajā daļā minēto atvaļinājumu.</w:t>
            </w:r>
            <w:r>
              <w:br/>
              <w:t>(3) Jebkāda atkāpe no šā panta noteikumiem uzskatāma par diskrimināciju dzimuma dēļ.</w:t>
            </w:r>
            <w:r>
              <w:br/>
            </w:r>
            <w:r>
              <w:br/>
              <w:t> 5. Jauns pants – dzimumu līdztiesības audits</w:t>
            </w:r>
            <w:r>
              <w:br/>
              <w:t>➤ Ievietot II nodaļā:</w:t>
            </w:r>
            <w:r>
              <w:br/>
              <w:t xml:space="preserve">10¹ pants. Dzimumu līdztiesības </w:t>
            </w:r>
            <w:r>
              <w:lastRenderedPageBreak/>
              <w:t>audits</w:t>
            </w:r>
            <w:r>
              <w:br/>
              <w:t>(1) Darba devējs, kurš nodarbina 100 vai vairāk nodarbināto, ne retāk kā reizi trijos gados veic dzimumu līdztiesības auditu.</w:t>
            </w:r>
            <w:r>
              <w:br/>
              <w:t>(2) Auditā izvērtē:</w:t>
            </w:r>
            <w:r>
              <w:br/>
              <w:t>darba samaksas struktūru;</w:t>
            </w:r>
            <w:r>
              <w:br/>
              <w:t>darba samaksas attīstības mehānismus;</w:t>
            </w:r>
            <w:r>
              <w:br/>
              <w:t>paaugstinājumu un prēmiju piešķiršanas praksi;</w:t>
            </w:r>
            <w:r>
              <w:br/>
              <w:t>nodarbināto dzimumu sadalījumu amatos un vadības līmeņos.</w:t>
            </w:r>
            <w:r>
              <w:br/>
              <w:t xml:space="preserve">(3) Audita rezultāti dokumentējami un pēc pieprasījuma iesniedzami Valsts darba inspekcijai vai </w:t>
            </w:r>
            <w:proofErr w:type="spellStart"/>
            <w:r>
              <w:t>Tiesībsargam</w:t>
            </w:r>
            <w:proofErr w:type="spellEnd"/>
            <w:r>
              <w:t>.</w:t>
            </w:r>
            <w:r>
              <w:br/>
              <w:t>6.Jauns pants – publiskie iepirkumi</w:t>
            </w:r>
            <w:r>
              <w:br/>
              <w:t>➤ Precizēt 21. pantu:</w:t>
            </w:r>
            <w:r>
              <w:br/>
              <w:t>21. pants. Vienlīdzīga darba samaksa publiskā iepirkuma līgumos</w:t>
            </w:r>
            <w:r>
              <w:br/>
              <w:t xml:space="preserve">(1) Pasūtītājs ir tiesīgs izslēgt no dalības publiskajā iepirkumā pretendentu, kurš nav izpildījis šā likuma prasības par darba samaksas </w:t>
            </w:r>
            <w:proofErr w:type="spellStart"/>
            <w:r>
              <w:t>pārredzamību</w:t>
            </w:r>
            <w:proofErr w:type="spellEnd"/>
            <w:r>
              <w:t xml:space="preserve"> vai vienlīdzīgas darba samaksas nodrošināšanu.</w:t>
            </w:r>
            <w:r>
              <w:br/>
            </w:r>
            <w:r>
              <w:lastRenderedPageBreak/>
              <w:t>(2) Pretendentam pēc pieprasījuma jāsniedz apliecinājums par šā likuma prasību izpildi.</w:t>
            </w:r>
            <w:r>
              <w:br/>
              <w:t>(3) Ja konstatēti pārkāpumi, pretendentam ir pienākums iesniegt pasākumu plānu to novēršanai.</w:t>
            </w:r>
            <w:r>
              <w:br/>
              <w:t>7. Jauns pants – apmācību pienākums</w:t>
            </w:r>
            <w:r>
              <w:br/>
              <w:t>➤ Ievietot II nodaļā:</w:t>
            </w:r>
            <w:r>
              <w:br/>
              <w:t>6¹ pants. Darba devēja pienākums nodrošināt apmācību</w:t>
            </w:r>
            <w:r>
              <w:br/>
              <w:t xml:space="preserve">Darba devējs nodrošina vadības un personāla atlases procesā iesaistīto darbinieku regulāru apmācību par vienlīdzīgas darba samaksas principa piemērošanu, diskriminācijas novēršanu un </w:t>
            </w:r>
            <w:proofErr w:type="spellStart"/>
            <w:r>
              <w:t>dzimumneitrālu</w:t>
            </w:r>
            <w:proofErr w:type="spellEnd"/>
            <w:r>
              <w:t xml:space="preserve"> darba vērtēšanu.</w:t>
            </w:r>
            <w:r>
              <w:br/>
            </w:r>
          </w:p>
        </w:tc>
        <w:tc>
          <w:tcPr>
            <w:tcW w:w="1650" w:type="dxa"/>
            <w:shd w:val="clear" w:color="auto" w:fill="FFFFFF"/>
            <w:noWrap/>
            <w:tcMar>
              <w:top w:w="0" w:type="dxa"/>
              <w:left w:w="0" w:type="dxa"/>
              <w:bottom w:w="0" w:type="dxa"/>
              <w:right w:w="0" w:type="dxa"/>
            </w:tcMar>
            <w:vAlign w:val="center"/>
          </w:tcPr>
          <w:p w14:paraId="5DBFA545" w14:textId="662DAAD7" w:rsidR="00075F8E" w:rsidRDefault="00C86995">
            <w:pPr>
              <w:spacing w:line="240" w:lineRule="auto"/>
              <w:jc w:val="left"/>
            </w:pPr>
            <w:r>
              <w:lastRenderedPageBreak/>
              <w:t>Daļēji</w:t>
            </w:r>
            <w:r w:rsidR="006B1B22">
              <w:t xml:space="preserve"> </w:t>
            </w:r>
            <w:r w:rsidR="007F5B7F">
              <w:t xml:space="preserve">ņemts vērā </w:t>
            </w:r>
          </w:p>
        </w:tc>
        <w:tc>
          <w:tcPr>
            <w:tcW w:w="4056" w:type="dxa"/>
            <w:shd w:val="clear" w:color="auto" w:fill="FFFFFF"/>
            <w:noWrap/>
            <w:tcMar>
              <w:top w:w="0" w:type="dxa"/>
              <w:left w:w="0" w:type="dxa"/>
              <w:bottom w:w="0" w:type="dxa"/>
              <w:right w:w="0" w:type="dxa"/>
            </w:tcMar>
            <w:vAlign w:val="center"/>
          </w:tcPr>
          <w:p w14:paraId="5F295D63" w14:textId="7B15E9C4" w:rsidR="007C6B95" w:rsidRPr="00E02340" w:rsidRDefault="007C6B95" w:rsidP="00E02340">
            <w:pPr>
              <w:spacing w:line="240" w:lineRule="auto"/>
            </w:pPr>
            <w:r w:rsidRPr="00E02340">
              <w:t>Priekšlikumi izvērtēti.</w:t>
            </w:r>
          </w:p>
          <w:p w14:paraId="2F75E445" w14:textId="4716A48D" w:rsidR="007F5B7F" w:rsidRPr="00E02340" w:rsidRDefault="007F5B7F" w:rsidP="00E02340">
            <w:pPr>
              <w:spacing w:line="240" w:lineRule="auto"/>
            </w:pPr>
            <w:r w:rsidRPr="00E02340">
              <w:t>Latvija, pārņemot Direktīvu (ES) 2023/970, ir izvēlējusies ieviest Direktīvā noteiktās minimālās prasības, ar mērķi nepalielināt administratīvo slogu darba devējiem un ievērot samērīguma principu. Vairāki iesniegtie priekšlikumi (piemēram, obligāti auditi, papildu pasākumu plāni,</w:t>
            </w:r>
            <w:r w:rsidRPr="007F5B7F">
              <w:t xml:space="preserve"> plašāka publiska </w:t>
            </w:r>
            <w:r w:rsidRPr="007F5B7F">
              <w:lastRenderedPageBreak/>
              <w:t xml:space="preserve">datu pieejamība, jauni pienākumi darba devējiem un papildu mehānismi) </w:t>
            </w:r>
            <w:r w:rsidRPr="00E02340">
              <w:t xml:space="preserve">Direktīvā nav paredzēti, līdz ar to </w:t>
            </w:r>
            <w:proofErr w:type="spellStart"/>
            <w:r w:rsidRPr="00E02340">
              <w:t>to</w:t>
            </w:r>
            <w:proofErr w:type="spellEnd"/>
            <w:r w:rsidRPr="00E02340">
              <w:t xml:space="preserve"> iekļaušana pārsniegtu Direktīvā noteikto regulējuma minimumu.</w:t>
            </w:r>
            <w:r w:rsidR="00D97705">
              <w:t xml:space="preserve"> Turklāt tas būtiski palielinātu administratīvo slogu darba devējiem.</w:t>
            </w:r>
          </w:p>
          <w:p w14:paraId="58C30428" w14:textId="39E32116" w:rsidR="007F5B7F" w:rsidRPr="00C86995" w:rsidRDefault="007F5B7F" w:rsidP="00E02340">
            <w:pPr>
              <w:spacing w:line="240" w:lineRule="auto"/>
            </w:pPr>
            <w:r w:rsidRPr="00E02340">
              <w:t xml:space="preserve">Attiecībā uz administratīvās atbildības regulējumu norādāms, ka šī sadaļa vēl tiek izvērtēta sadarbībā ar iesaistītajām institūcijām, lai nodrošinātu atbilstību Direktīvai, esošajam nacionālajam tiesiskajam regulējumam un samērīguma principam. Iesniedzēja priekšlikumi tiks paturēti </w:t>
            </w:r>
            <w:r w:rsidRPr="00C86995">
              <w:t>turpmākai izvērtēšanai šā regulējuma pilnveides gaitā.</w:t>
            </w:r>
          </w:p>
          <w:p w14:paraId="1C3442CD" w14:textId="77777777" w:rsidR="00075F8E" w:rsidRDefault="00075F8E">
            <w:pPr>
              <w:spacing w:line="240" w:lineRule="auto"/>
              <w:jc w:val="left"/>
            </w:pPr>
          </w:p>
        </w:tc>
      </w:tr>
      <w:tr w:rsidR="00075F8E" w14:paraId="1491F68E" w14:textId="77777777">
        <w:tc>
          <w:tcPr>
            <w:tcW w:w="750" w:type="dxa"/>
            <w:shd w:val="clear" w:color="auto" w:fill="FFFFFF"/>
            <w:noWrap/>
            <w:tcMar>
              <w:top w:w="0" w:type="dxa"/>
              <w:left w:w="0" w:type="dxa"/>
              <w:bottom w:w="0" w:type="dxa"/>
              <w:right w:w="0" w:type="dxa"/>
            </w:tcMar>
            <w:vAlign w:val="center"/>
          </w:tcPr>
          <w:p w14:paraId="66A30A07" w14:textId="77777777" w:rsidR="00075F8E" w:rsidRDefault="00CE0661">
            <w:pPr>
              <w:spacing w:line="240" w:lineRule="auto"/>
              <w:jc w:val="center"/>
            </w:pPr>
            <w:r>
              <w:lastRenderedPageBreak/>
              <w:t>6.</w:t>
            </w:r>
          </w:p>
        </w:tc>
        <w:tc>
          <w:tcPr>
            <w:tcW w:w="4055" w:type="dxa"/>
            <w:shd w:val="clear" w:color="auto" w:fill="FFFFFF"/>
            <w:noWrap/>
            <w:tcMar>
              <w:top w:w="0" w:type="dxa"/>
              <w:left w:w="0" w:type="dxa"/>
              <w:bottom w:w="0" w:type="dxa"/>
              <w:right w:w="0" w:type="dxa"/>
            </w:tcMar>
            <w:vAlign w:val="center"/>
          </w:tcPr>
          <w:p w14:paraId="17C4AE26" w14:textId="77777777" w:rsidR="00075F8E" w:rsidRDefault="00CE0661">
            <w:pPr>
              <w:spacing w:line="240" w:lineRule="auto"/>
              <w:jc w:val="left"/>
            </w:pPr>
            <w:r>
              <w:t xml:space="preserve">Lelde </w:t>
            </w:r>
            <w:proofErr w:type="spellStart"/>
            <w:r>
              <w:t>Miončinska</w:t>
            </w:r>
            <w:proofErr w:type="spellEnd"/>
          </w:p>
        </w:tc>
        <w:tc>
          <w:tcPr>
            <w:tcW w:w="4056" w:type="dxa"/>
            <w:shd w:val="clear" w:color="auto" w:fill="FFFFFF"/>
            <w:noWrap/>
            <w:tcMar>
              <w:top w:w="0" w:type="dxa"/>
              <w:left w:w="0" w:type="dxa"/>
              <w:bottom w:w="0" w:type="dxa"/>
              <w:right w:w="0" w:type="dxa"/>
            </w:tcMar>
            <w:vAlign w:val="center"/>
          </w:tcPr>
          <w:p w14:paraId="6F59A817" w14:textId="77777777" w:rsidR="00075F8E" w:rsidRDefault="00CE0661">
            <w:pPr>
              <w:spacing w:line="240" w:lineRule="auto"/>
              <w:jc w:val="left"/>
            </w:pPr>
            <w:r>
              <w:rPr>
                <w:b/>
                <w:u w:val="single"/>
              </w:rPr>
              <w:t>Priekšlikums Likumprojekta 3. pantam un Anotācijai:</w:t>
            </w:r>
            <w:r>
              <w:br/>
              <w:t xml:space="preserve">Aicinu likumprojekta 3. pantā vai anotācijā precizēt un skaidrot, </w:t>
            </w:r>
            <w:r>
              <w:rPr>
                <w:b/>
              </w:rPr>
              <w:t xml:space="preserve">kas šā likuma izpratnē var tikt uzskatīti par objektīviem kritērijiem </w:t>
            </w:r>
            <w:r>
              <w:t xml:space="preserve">darba samaksas noteikšanai un atšķirību pamatošanai, lai nodrošinātu </w:t>
            </w:r>
            <w:r>
              <w:lastRenderedPageBreak/>
              <w:t>vienotu izpratni par šo kritēriju piemērošanu un mazinātu risku, ka tie tiek interpretēti, balstoties uz subjektīviem vai vēsturiski izveidojušiem priekšstatiem, kā rezultātā var rasties tieša vai netieša diskriminācija.</w:t>
            </w:r>
            <w:r>
              <w:br/>
              <w:t xml:space="preserve">ES Direktīvas 2023/970 preambulas 17.punkts paredz, ka “vienlīdzīgas darba samaksas piemērošana neliedz darba devējiem maksāt darba ņēmējiem, kuri veic vienādu vai vienādi vērtīgu darbu, atšķirīgu samaksu, balstoties uz tādiem objektīviem, </w:t>
            </w:r>
            <w:proofErr w:type="spellStart"/>
            <w:r>
              <w:t>dzimumneitrāliem</w:t>
            </w:r>
            <w:proofErr w:type="spellEnd"/>
            <w:r>
              <w:t xml:space="preserve"> kritērijiem bez aizspriedumiem kā, </w:t>
            </w:r>
            <w:r>
              <w:rPr>
                <w:b/>
              </w:rPr>
              <w:t>piemēram, veikums un kompetence</w:t>
            </w:r>
            <w:r>
              <w:t>.”</w:t>
            </w:r>
            <w:r>
              <w:br/>
              <w:t xml:space="preserve">Ņemot vērā minēto, uzskatu, ka likumprojektā vai tā anotācijā būtu lietderīgi skaidrot, ka objektīvi kritēriji pēc būtības ir tādi kritēriji, kas ir </w:t>
            </w:r>
            <w:r>
              <w:rPr>
                <w:b/>
              </w:rPr>
              <w:t xml:space="preserve">salīdzināmi un pārbaudāmi </w:t>
            </w:r>
            <w:r>
              <w:t>konkrētā darba devēja organizācijas ietvaros, tostarp attiecībā uz veikumu, kompetenci.</w:t>
            </w:r>
            <w:r>
              <w:br/>
              <w:t xml:space="preserve">Šāds skaidrojums veicinātu noteiktību un vienveidīgu normu </w:t>
            </w:r>
            <w:r>
              <w:lastRenderedPageBreak/>
              <w:t>piemērošanu praksē, kā arī palīdzētu nodrošināt, ka darba samaksas atšķirības tiek pamatotas ar skaidri identificējamiem un pārbaudāmiem kritērijiem.</w:t>
            </w:r>
            <w:r>
              <w:br/>
            </w:r>
            <w:r>
              <w:br/>
            </w:r>
            <w:r>
              <w:rPr>
                <w:b/>
                <w:u w:val="single"/>
              </w:rPr>
              <w:t>Priekšlikums likumprojekta 8. panta pirmās daļas anotācijai</w:t>
            </w:r>
            <w:r>
              <w:br/>
              <w:t xml:space="preserve">Aicinu anotācijā skaidrot, kā praksē nosakāms </w:t>
            </w:r>
            <w:r>
              <w:rPr>
                <w:b/>
              </w:rPr>
              <w:t xml:space="preserve">periods, par kuru aprēķināmi vidējās darba samaksas līmeņi </w:t>
            </w:r>
            <w:r>
              <w:t xml:space="preserve">sadalījumā pēc dzimuma, kā arī </w:t>
            </w:r>
            <w:r>
              <w:rPr>
                <w:b/>
              </w:rPr>
              <w:t xml:space="preserve">kuri nodarbinātie iekļaujami salīdzinājumā </w:t>
            </w:r>
            <w:r>
              <w:t>– uz pieprasījuma brīdi aktīvi nodarbinātie konkrētajā amata līmenī, vai visi, kas bijuši nodarbināti salīdzināmajā periodā.</w:t>
            </w:r>
            <w:r>
              <w:br/>
              <w:t>Ņemot vērā, ka vidējā darba samaksa ir statistisks rādītājs, kura vērtība būtiski ir atkarīga no izvēlētā laika perioda un salīdzināmo personu loka, būtu lietderīgi anotācijā norādīt, ka:</w:t>
            </w:r>
            <w:r>
              <w:br/>
              <w:t xml:space="preserve">a) vidējās darba samaksas līmenis aprēķināms par skaidri definētu un vienādi piemērojamu periodu, piemēram, par pēdējiem 12 vai 6 </w:t>
            </w:r>
            <w:r>
              <w:lastRenderedPageBreak/>
              <w:t>mēnešiem vai citu noteiktu pārskata periodu no pieprasījuma brīža;</w:t>
            </w:r>
            <w:r>
              <w:br/>
              <w:t>b) precizēt, vai salīdzinājumā iekļaujami nodarbinātie, kuri attiecīgajā periodā faktiski veikuši tādu pašu darbu vai vienādas vērtības darbu attiecīgajā darba devēja organizācijā, neatkarīgi no tā, vai darba tiesiskās attiecības ar šiem nodarbinātajiem turpinās pieprasījuma izteikšanas brīdī, vai tikai tie darba ņēmēji, kas ir aktīvi uz pieprasījuma brīdi;</w:t>
            </w:r>
            <w:r>
              <w:br/>
              <w:t>Šāds skaidrojums veicinātu tiesisko noteiktību, vienotu aprēķinu metodiku un salīdzināmu informācijas sniegšanu nodarbinātajiem, kā arī mazinātu interpretācijas atšķirības par šīs normas piemērošanu praksē.</w:t>
            </w:r>
            <w:r>
              <w:br/>
            </w:r>
            <w:r>
              <w:br/>
            </w:r>
            <w:r>
              <w:rPr>
                <w:b/>
                <w:u w:val="single"/>
              </w:rPr>
              <w:t>Priekšlikums likumprojekta 8. panta trešās daļas anotācijai</w:t>
            </w:r>
            <w:r>
              <w:br/>
              <w:t>Aicinu anotācijā skaidrot šīs normas piemērošanu praksē, jo pašreizējais formulējums nenosaka informēšanas veidu un kārtību.</w:t>
            </w:r>
            <w:r>
              <w:br/>
              <w:t xml:space="preserve">Lai nodrošinātu vienotu izpratni par </w:t>
            </w:r>
            <w:r>
              <w:lastRenderedPageBreak/>
              <w:t>normas piemērošanu un veicinātu tās efektīvu īstenošanu, būtu lietderīgi anotācijā norādīt, ka darba devējs var informēt nodarbinātos kolektīvi vai individuāli, izmantojot darba devēja izvēlētu saziņas veidu. Tāpat, būtu lietderīgi konkretizēt, vai informēšanas fakts ir dokumentējams.</w:t>
            </w:r>
          </w:p>
        </w:tc>
        <w:tc>
          <w:tcPr>
            <w:tcW w:w="1650" w:type="dxa"/>
            <w:shd w:val="clear" w:color="auto" w:fill="FFFFFF"/>
            <w:noWrap/>
            <w:tcMar>
              <w:top w:w="0" w:type="dxa"/>
              <w:left w:w="0" w:type="dxa"/>
              <w:bottom w:w="0" w:type="dxa"/>
              <w:right w:w="0" w:type="dxa"/>
            </w:tcMar>
            <w:vAlign w:val="center"/>
          </w:tcPr>
          <w:p w14:paraId="78CC2C86" w14:textId="77777777" w:rsidR="00B15739" w:rsidRDefault="00B15739">
            <w:pPr>
              <w:spacing w:line="240" w:lineRule="auto"/>
              <w:jc w:val="left"/>
            </w:pPr>
            <w:r>
              <w:lastRenderedPageBreak/>
              <w:t xml:space="preserve">Daļēji </w:t>
            </w:r>
          </w:p>
          <w:p w14:paraId="5D9274B6" w14:textId="7FAC7F42" w:rsidR="00075F8E" w:rsidRDefault="007563B3">
            <w:pPr>
              <w:spacing w:line="240" w:lineRule="auto"/>
              <w:jc w:val="left"/>
            </w:pPr>
            <w:r>
              <w:t>ņemts</w:t>
            </w:r>
            <w:r w:rsidR="00E61892">
              <w:t xml:space="preserve"> vērā </w:t>
            </w:r>
          </w:p>
        </w:tc>
        <w:tc>
          <w:tcPr>
            <w:tcW w:w="4056" w:type="dxa"/>
            <w:shd w:val="clear" w:color="auto" w:fill="FFFFFF"/>
            <w:noWrap/>
            <w:tcMar>
              <w:top w:w="0" w:type="dxa"/>
              <w:left w:w="0" w:type="dxa"/>
              <w:bottom w:w="0" w:type="dxa"/>
              <w:right w:w="0" w:type="dxa"/>
            </w:tcMar>
            <w:vAlign w:val="center"/>
          </w:tcPr>
          <w:p w14:paraId="1D82D239" w14:textId="77777777" w:rsidR="00075F8E" w:rsidRDefault="00B15739" w:rsidP="00B15739">
            <w:pPr>
              <w:spacing w:line="240" w:lineRule="auto"/>
            </w:pPr>
            <w:r>
              <w:t>Priekšlikumi izvērtēti.</w:t>
            </w:r>
          </w:p>
          <w:p w14:paraId="498197A2" w14:textId="77777777" w:rsidR="006C6CF2" w:rsidRDefault="006C6CF2" w:rsidP="00B15739">
            <w:pPr>
              <w:spacing w:line="240" w:lineRule="auto"/>
            </w:pPr>
          </w:p>
          <w:p w14:paraId="462F1512" w14:textId="77777777" w:rsidR="00B15739" w:rsidRPr="00B15739" w:rsidRDefault="00B15739" w:rsidP="00B15739">
            <w:pPr>
              <w:spacing w:line="240" w:lineRule="auto"/>
            </w:pPr>
            <w:r w:rsidRPr="00B15739">
              <w:t xml:space="preserve">Direktīva (ES) </w:t>
            </w:r>
            <w:r w:rsidRPr="009A7E00">
              <w:t>2023/970 un attiecīgi likumprojekts jau nosaka obligātos objektīvos kritērijus darba vērtības salīdzināšanai, proti – prasmes, piepūli, atbildību un darba apstākļus, kas ir minimums</w:t>
            </w:r>
            <w:r w:rsidRPr="00B15739">
              <w:t xml:space="preserve">, kas piemērojams visiem darba </w:t>
            </w:r>
            <w:r w:rsidRPr="00B15739">
              <w:lastRenderedPageBreak/>
              <w:t>devējiem. Šie kritēriji ir ietverti likumprojekta 3. panta trešajā daļā un atbilst Direktīvas 4. panta 4. punktam.</w:t>
            </w:r>
          </w:p>
          <w:p w14:paraId="1748334D" w14:textId="77777777" w:rsidR="00B15739" w:rsidRPr="00AF4A28" w:rsidRDefault="00B15739" w:rsidP="00B15739">
            <w:pPr>
              <w:spacing w:line="240" w:lineRule="auto"/>
            </w:pPr>
            <w:r w:rsidRPr="00B15739">
              <w:t xml:space="preserve">Direktīva </w:t>
            </w:r>
            <w:r w:rsidRPr="00AF4A28">
              <w:t xml:space="preserve">apzināti neparedz izsmeļošu vai vienotu “objektīvu kritēriju” sarakstu ārpus minētajiem </w:t>
            </w:r>
            <w:r w:rsidRPr="00B15739">
              <w:t xml:space="preserve">četriem pamatkritērijiem, jo darba vērtības novērtējumam jābūt elastīgam un pielāgotam konkrētā darba devēja organizācijas struktūrai, amatu saturam un nozarei. Papildu faktoru (piemēram, ietekme, specifiskas kompetences) izmantošana ir pieļaujama tikai tad, ja tie ir </w:t>
            </w:r>
            <w:r w:rsidRPr="00AF4A28">
              <w:t xml:space="preserve">konkrētajam amatam objektīvi būtiski un piemēroti </w:t>
            </w:r>
            <w:proofErr w:type="spellStart"/>
            <w:r w:rsidRPr="00AF4A28">
              <w:t>dzimumneitrāli</w:t>
            </w:r>
            <w:proofErr w:type="spellEnd"/>
            <w:r w:rsidRPr="00AF4A28">
              <w:t>.</w:t>
            </w:r>
          </w:p>
          <w:p w14:paraId="67040586" w14:textId="77777777" w:rsidR="00AF4A28" w:rsidRDefault="00B15739" w:rsidP="00B15739">
            <w:pPr>
              <w:spacing w:line="240" w:lineRule="auto"/>
            </w:pPr>
            <w:r w:rsidRPr="00B15739">
              <w:t xml:space="preserve">Iesniedzēja minētais Direktīvas preambulas 17. punkts attiecas uz </w:t>
            </w:r>
            <w:r w:rsidRPr="00AF4A28">
              <w:t xml:space="preserve">individuālās darba samaksas atšķirību pamatošanu (piemēram, veikums, kompetence), nevis uz amata (darba) vērtības noteikšanu. </w:t>
            </w:r>
          </w:p>
          <w:p w14:paraId="6FB4126F" w14:textId="77777777" w:rsidR="00AF4A28" w:rsidRDefault="00AF4A28" w:rsidP="00B15739">
            <w:pPr>
              <w:spacing w:line="240" w:lineRule="auto"/>
            </w:pPr>
          </w:p>
          <w:p w14:paraId="256F40AA" w14:textId="07C97987" w:rsidR="00B72EFD" w:rsidRDefault="00AF4A28" w:rsidP="00B15739">
            <w:pPr>
              <w:spacing w:line="240" w:lineRule="auto"/>
            </w:pPr>
            <w:r>
              <w:t>I</w:t>
            </w:r>
            <w:r w:rsidR="00B15739" w:rsidRPr="00B15739">
              <w:t>r skaidri nošķ</w:t>
            </w:r>
            <w:r w:rsidR="006C6CF2">
              <w:t>i</w:t>
            </w:r>
            <w:r w:rsidR="00B72EFD">
              <w:t>rami</w:t>
            </w:r>
            <w:r w:rsidR="00B15739" w:rsidRPr="00B15739">
              <w:t xml:space="preserve"> š</w:t>
            </w:r>
            <w:r w:rsidR="00B72EFD">
              <w:t>ie</w:t>
            </w:r>
            <w:r w:rsidR="00B15739" w:rsidRPr="00B15739">
              <w:t xml:space="preserve"> div</w:t>
            </w:r>
            <w:r w:rsidR="00B72EFD">
              <w:t>i</w:t>
            </w:r>
            <w:r w:rsidR="00B15739" w:rsidRPr="00B15739">
              <w:t xml:space="preserve"> līmeņ</w:t>
            </w:r>
            <w:r w:rsidR="00B72EFD">
              <w:t>i;</w:t>
            </w:r>
          </w:p>
          <w:p w14:paraId="47E4C9B1" w14:textId="3C6262A6" w:rsidR="00B15739" w:rsidRPr="00B15739" w:rsidRDefault="00B15739" w:rsidP="00B15739">
            <w:pPr>
              <w:spacing w:line="240" w:lineRule="auto"/>
            </w:pPr>
            <w:r w:rsidRPr="00B15739">
              <w:br/>
              <w:t xml:space="preserve">– </w:t>
            </w:r>
            <w:r w:rsidRPr="00B15739">
              <w:rPr>
                <w:b/>
                <w:bCs/>
              </w:rPr>
              <w:t>amata vērtību</w:t>
            </w:r>
            <w:r w:rsidRPr="00B15739">
              <w:t xml:space="preserve"> nosaka, izmantojot </w:t>
            </w:r>
            <w:r w:rsidRPr="00B15739">
              <w:lastRenderedPageBreak/>
              <w:t>četrus pamatkritērijus;</w:t>
            </w:r>
            <w:r w:rsidRPr="00B15739">
              <w:br/>
              <w:t xml:space="preserve">– </w:t>
            </w:r>
            <w:r w:rsidRPr="00B15739">
              <w:rPr>
                <w:b/>
                <w:bCs/>
              </w:rPr>
              <w:t>individuālās samaksas atšķirības</w:t>
            </w:r>
            <w:r w:rsidRPr="00B15739">
              <w:t xml:space="preserve"> var pastāvēt, ja tās balstītas uz objektīviem un </w:t>
            </w:r>
            <w:proofErr w:type="spellStart"/>
            <w:r w:rsidRPr="00B15739">
              <w:t>dzimumneitrāliem</w:t>
            </w:r>
            <w:proofErr w:type="spellEnd"/>
            <w:r w:rsidRPr="00B15739">
              <w:t xml:space="preserve"> iemesliem.</w:t>
            </w:r>
          </w:p>
          <w:p w14:paraId="2F1A7866" w14:textId="77777777" w:rsidR="00B15739" w:rsidRDefault="00B15739" w:rsidP="00B15739">
            <w:pPr>
              <w:spacing w:line="240" w:lineRule="auto"/>
            </w:pPr>
            <w:r w:rsidRPr="00B15739">
              <w:t xml:space="preserve">Likumprojekts apzināti </w:t>
            </w:r>
            <w:r w:rsidRPr="00B72EFD">
              <w:t>neprecizē “objektīvo kritēriju” definīciju anotācijā, jo šāda definēšan</w:t>
            </w:r>
            <w:r w:rsidRPr="00B15739">
              <w:t>a varētu nepamatoti sašaurināt Direktīvā paredzēto elastību un neatbilstu tās mērķim – nodrošināt vienlīdzīgu darba samaksu, vienlaikus ļaujot darba devējiem veidot savām vajadzībām atbilstošas darba samaksas sistēmas.</w:t>
            </w:r>
          </w:p>
          <w:p w14:paraId="5DB81818" w14:textId="77777777" w:rsidR="0060522D" w:rsidRDefault="0060522D" w:rsidP="00B15739">
            <w:pPr>
              <w:spacing w:line="240" w:lineRule="auto"/>
            </w:pPr>
          </w:p>
          <w:p w14:paraId="5FE5D5B5" w14:textId="77777777" w:rsidR="00A367AD" w:rsidRPr="00D207CD" w:rsidRDefault="00A367AD" w:rsidP="00A367AD">
            <w:pPr>
              <w:spacing w:line="240" w:lineRule="auto"/>
            </w:pPr>
            <w:r w:rsidRPr="00D207CD">
              <w:t xml:space="preserve">Direktīvas  7. pants paredz </w:t>
            </w:r>
            <w:r>
              <w:t>nodarbināto</w:t>
            </w:r>
            <w:r w:rsidRPr="00D207CD">
              <w:t xml:space="preserve"> tiesības saņemt informāciju par </w:t>
            </w:r>
            <w:r>
              <w:t xml:space="preserve">vidējiem </w:t>
            </w:r>
            <w:r w:rsidRPr="00D207CD">
              <w:t xml:space="preserve">darba samaksas līmeņiem salīdzināmām nodarbināto kategorijām, </w:t>
            </w:r>
            <w:r w:rsidRPr="00246CDC">
              <w:t>nenosakot vienotu, obligātu pārskata periodu vai izsmeļošu salīdzināmo personu loku</w:t>
            </w:r>
            <w:r w:rsidRPr="00D207CD">
              <w:t>. Likumprojekta 8. pants šo pieeju pārņem, saglabājot elastību dažādām nodarbinātības situācijām un darba organizācijas modeļiem</w:t>
            </w:r>
            <w:r>
              <w:t>.</w:t>
            </w:r>
          </w:p>
          <w:p w14:paraId="0F4458F3" w14:textId="77777777" w:rsidR="00A367AD" w:rsidRPr="00D207CD" w:rsidRDefault="00A367AD" w:rsidP="00A367AD">
            <w:pPr>
              <w:spacing w:line="240" w:lineRule="auto"/>
            </w:pPr>
            <w:r w:rsidRPr="00246CDC">
              <w:lastRenderedPageBreak/>
              <w:t>Informācijai jābūt aktuālai un piemērotai konkrētā pieprasījuma mērķim,</w:t>
            </w:r>
            <w:r w:rsidRPr="00D207CD">
              <w:t xml:space="preserve"> bet dalībvalstīm nav pienākuma normatīvajā regulējumā noteikt vienotu aprēķina periodu vai prasīt iekļaut personas, kuru faktiskais atalgojums attiecīgajā periodā ir nulle (piemēram, ilgstošas prombūtnes gadījumā).</w:t>
            </w:r>
          </w:p>
          <w:p w14:paraId="4C151933" w14:textId="77777777" w:rsidR="00A367AD" w:rsidRPr="00D207CD" w:rsidRDefault="00A367AD" w:rsidP="00A367AD">
            <w:pPr>
              <w:spacing w:line="240" w:lineRule="auto"/>
            </w:pPr>
            <w:r w:rsidRPr="00D207CD">
              <w:t>Vienlaikus darba devējam, sniedzot informāciju saskaņā ar</w:t>
            </w:r>
            <w:r>
              <w:t xml:space="preserve"> likumprojekta </w:t>
            </w:r>
            <w:r w:rsidRPr="00D207CD">
              <w:t xml:space="preserve">8. pantu, </w:t>
            </w:r>
            <w:r w:rsidRPr="005231A4">
              <w:t>jāizmanto vienoti un konsekventi kritēriji, izvēloties saprātīgu pārskata</w:t>
            </w:r>
            <w:r w:rsidRPr="00D207CD">
              <w:t xml:space="preserve"> periodu un salīdzināmo nodarbināto loku tā, lai sniegtā informācija būtu objektīva, salīdzināma un nekropļotu darba samaksas atšķirību </w:t>
            </w:r>
            <w:proofErr w:type="spellStart"/>
            <w:r w:rsidRPr="00D207CD">
              <w:t>izvērtējumu</w:t>
            </w:r>
            <w:proofErr w:type="spellEnd"/>
            <w:r w:rsidRPr="00D207CD">
              <w:t>.</w:t>
            </w:r>
          </w:p>
          <w:p w14:paraId="4A166CEE" w14:textId="77777777" w:rsidR="0060522D" w:rsidRPr="00B15739" w:rsidRDefault="0060522D" w:rsidP="00B15739">
            <w:pPr>
              <w:spacing w:line="240" w:lineRule="auto"/>
            </w:pPr>
          </w:p>
          <w:p w14:paraId="21264C17" w14:textId="5BEF6F2F" w:rsidR="00ED2D5E" w:rsidRPr="00ED2D5E" w:rsidRDefault="00ED2D5E" w:rsidP="00ED2D5E">
            <w:pPr>
              <w:spacing w:line="240" w:lineRule="auto"/>
            </w:pPr>
            <w:r w:rsidRPr="00ED2D5E">
              <w:t xml:space="preserve">Likumprojekta 8. panta trešā daļa apzināti nenosaka informēšanas veidu un kārtību, jo Direktīva paredz elastīgu pieeju informācijas sniegšanai, koncentrējoties uz rezultātu – nodarbinātajam ir jābūt informētam par savām tiesībām, nevis uz formālām procedūrām. </w:t>
            </w:r>
            <w:r>
              <w:lastRenderedPageBreak/>
              <w:t>Attiecīgi d</w:t>
            </w:r>
            <w:r w:rsidRPr="00ED2D5E">
              <w:t>alībvalstīm nav pienākuma noteikt vienotu informēšanas mehānismu vai kanālu, un darba devējam ir rīcības brīvība izvēlēties piemērotāko veidu atbilstoši organizācijas struktūrai un praksei (piemēram, kolektīvi vai individuāli, izmantojot iekšējos saziņas kanālus).</w:t>
            </w:r>
          </w:p>
          <w:p w14:paraId="5541E545" w14:textId="101E35BD" w:rsidR="00ED2D5E" w:rsidRPr="00ED2D5E" w:rsidRDefault="00ED2D5E" w:rsidP="00ED2D5E">
            <w:pPr>
              <w:spacing w:line="240" w:lineRule="auto"/>
            </w:pPr>
            <w:r w:rsidRPr="00ED2D5E">
              <w:t>Tāpat Direktīva neparedz prasību dokumentēt informēšanas faktu vai ieviest pierādīšanas pienākumu attiecībā uz informēšanas veidu. Šādas prasības iekļaušana radītu papildu administratīvo slogu un pārsniegtu Direktīvā noteikto regulējuma minimumu. Likumprojekta redakcija atbilst Direktīvas mērķim nodrošināt efektīvu informācijas pieejamību, vienlaikus saglabājot samērīgumu un elastību darba devējiem.</w:t>
            </w:r>
          </w:p>
          <w:p w14:paraId="56945BC8" w14:textId="43D6A32A" w:rsidR="00B15739" w:rsidRDefault="00B15739" w:rsidP="00B15739">
            <w:pPr>
              <w:spacing w:line="240" w:lineRule="auto"/>
            </w:pPr>
          </w:p>
        </w:tc>
      </w:tr>
    </w:tbl>
    <w:p w14:paraId="3EAC5278" w14:textId="77777777" w:rsidR="00075F8E" w:rsidRDefault="00075F8E"/>
    <w:tbl>
      <w:tblPr>
        <w:tblStyle w:val="1"/>
        <w:tblW w:w="14567" w:type="dxa"/>
        <w:tblInd w:w="0" w:type="dxa"/>
        <w:tblLayout w:type="fixed"/>
        <w:tblLook w:val="0600" w:firstRow="0" w:lastRow="0" w:firstColumn="0" w:lastColumn="0" w:noHBand="1" w:noVBand="1"/>
      </w:tblPr>
      <w:tblGrid>
        <w:gridCol w:w="4855"/>
        <w:gridCol w:w="4856"/>
        <w:gridCol w:w="4856"/>
      </w:tblGrid>
      <w:tr w:rsidR="00075F8E" w14:paraId="05974C2A" w14:textId="77777777">
        <w:tc>
          <w:tcPr>
            <w:tcW w:w="4855" w:type="dxa"/>
            <w:shd w:val="clear" w:color="auto" w:fill="FFFFFF"/>
            <w:noWrap/>
            <w:tcMar>
              <w:top w:w="0" w:type="dxa"/>
              <w:left w:w="0" w:type="dxa"/>
              <w:bottom w:w="0" w:type="dxa"/>
              <w:right w:w="0" w:type="dxa"/>
            </w:tcMar>
            <w:vAlign w:val="center"/>
          </w:tcPr>
          <w:p w14:paraId="73E497DD" w14:textId="77777777" w:rsidR="00075F8E" w:rsidRDefault="00CE0661">
            <w:pPr>
              <w:spacing w:line="240" w:lineRule="auto"/>
              <w:jc w:val="left"/>
            </w:pPr>
            <w:r>
              <w:t>Datums**</w:t>
            </w:r>
          </w:p>
        </w:tc>
        <w:tc>
          <w:tcPr>
            <w:tcW w:w="4856" w:type="dxa"/>
            <w:shd w:val="clear" w:color="auto" w:fill="FFFFFF"/>
            <w:noWrap/>
            <w:tcMar>
              <w:top w:w="0" w:type="dxa"/>
              <w:left w:w="0" w:type="dxa"/>
              <w:bottom w:w="0" w:type="dxa"/>
              <w:right w:w="0" w:type="dxa"/>
            </w:tcMar>
            <w:vAlign w:val="center"/>
          </w:tcPr>
          <w:p w14:paraId="23A2E40F" w14:textId="25A4DD3E" w:rsidR="00075F8E" w:rsidRDefault="002A46E2">
            <w:pPr>
              <w:pBdr>
                <w:bottom w:val="single" w:sz="10" w:space="1" w:color="000000"/>
              </w:pBdr>
              <w:spacing w:line="240" w:lineRule="auto"/>
            </w:pPr>
            <w:r>
              <w:t>11.05.2026.</w:t>
            </w:r>
          </w:p>
        </w:tc>
        <w:tc>
          <w:tcPr>
            <w:tcW w:w="4856" w:type="dxa"/>
            <w:shd w:val="clear" w:color="auto" w:fill="FFFFFF"/>
            <w:noWrap/>
            <w:tcMar>
              <w:top w:w="0" w:type="dxa"/>
              <w:left w:w="0" w:type="dxa"/>
              <w:bottom w:w="0" w:type="dxa"/>
              <w:right w:w="0" w:type="dxa"/>
            </w:tcMar>
            <w:vAlign w:val="center"/>
          </w:tcPr>
          <w:p w14:paraId="3B13E725" w14:textId="77777777" w:rsidR="00075F8E" w:rsidRDefault="00075F8E">
            <w:pPr>
              <w:spacing w:line="240" w:lineRule="auto"/>
            </w:pPr>
          </w:p>
        </w:tc>
      </w:tr>
      <w:tr w:rsidR="00075F8E" w14:paraId="129B8C30" w14:textId="77777777">
        <w:tc>
          <w:tcPr>
            <w:tcW w:w="4855" w:type="dxa"/>
            <w:shd w:val="clear" w:color="auto" w:fill="FFFFFF"/>
            <w:noWrap/>
            <w:tcMar>
              <w:top w:w="0" w:type="dxa"/>
              <w:left w:w="0" w:type="dxa"/>
              <w:bottom w:w="0" w:type="dxa"/>
              <w:right w:w="0" w:type="dxa"/>
            </w:tcMar>
            <w:vAlign w:val="center"/>
          </w:tcPr>
          <w:p w14:paraId="185192F2" w14:textId="77777777" w:rsidR="00075F8E" w:rsidRDefault="00075F8E">
            <w:pPr>
              <w:spacing w:line="240" w:lineRule="auto"/>
            </w:pPr>
          </w:p>
        </w:tc>
        <w:tc>
          <w:tcPr>
            <w:tcW w:w="4856" w:type="dxa"/>
            <w:shd w:val="clear" w:color="auto" w:fill="FFFFFF"/>
            <w:noWrap/>
            <w:tcMar>
              <w:top w:w="0" w:type="dxa"/>
              <w:left w:w="0" w:type="dxa"/>
              <w:bottom w:w="0" w:type="dxa"/>
              <w:right w:w="0" w:type="dxa"/>
            </w:tcMar>
            <w:vAlign w:val="center"/>
          </w:tcPr>
          <w:p w14:paraId="0C7EFD6C" w14:textId="77777777" w:rsidR="00075F8E" w:rsidRDefault="00CE0661">
            <w:pPr>
              <w:spacing w:line="240" w:lineRule="auto"/>
              <w:jc w:val="center"/>
            </w:pPr>
            <w:r>
              <w:t>(</w:t>
            </w:r>
            <w:proofErr w:type="spellStart"/>
            <w:r>
              <w:t>dd.mm.gggg</w:t>
            </w:r>
            <w:proofErr w:type="spellEnd"/>
            <w:r>
              <w:t>)</w:t>
            </w:r>
          </w:p>
        </w:tc>
        <w:tc>
          <w:tcPr>
            <w:tcW w:w="4856" w:type="dxa"/>
            <w:shd w:val="clear" w:color="auto" w:fill="FFFFFF"/>
            <w:noWrap/>
            <w:tcMar>
              <w:top w:w="0" w:type="dxa"/>
              <w:left w:w="0" w:type="dxa"/>
              <w:bottom w:w="0" w:type="dxa"/>
              <w:right w:w="0" w:type="dxa"/>
            </w:tcMar>
            <w:vAlign w:val="center"/>
          </w:tcPr>
          <w:p w14:paraId="7ECCD1DA" w14:textId="77777777" w:rsidR="00075F8E" w:rsidRDefault="00075F8E">
            <w:pPr>
              <w:spacing w:line="240" w:lineRule="auto"/>
            </w:pPr>
          </w:p>
        </w:tc>
      </w:tr>
      <w:tr w:rsidR="00075F8E" w14:paraId="03096292" w14:textId="77777777">
        <w:tc>
          <w:tcPr>
            <w:tcW w:w="4855" w:type="dxa"/>
            <w:shd w:val="clear" w:color="auto" w:fill="FFFFFF"/>
            <w:noWrap/>
            <w:tcMar>
              <w:top w:w="0" w:type="dxa"/>
              <w:left w:w="0" w:type="dxa"/>
              <w:bottom w:w="0" w:type="dxa"/>
              <w:right w:w="0" w:type="dxa"/>
            </w:tcMar>
            <w:vAlign w:val="center"/>
          </w:tcPr>
          <w:p w14:paraId="745DC7CE" w14:textId="77777777" w:rsidR="00075F8E" w:rsidRDefault="00CE0661">
            <w:pPr>
              <w:spacing w:line="240" w:lineRule="auto"/>
              <w:jc w:val="left"/>
            </w:pPr>
            <w:r>
              <w:t>Atbildīgā persona</w:t>
            </w:r>
          </w:p>
        </w:tc>
        <w:tc>
          <w:tcPr>
            <w:tcW w:w="4856" w:type="dxa"/>
            <w:shd w:val="clear" w:color="auto" w:fill="FFFFFF"/>
            <w:noWrap/>
            <w:tcMar>
              <w:top w:w="0" w:type="dxa"/>
              <w:left w:w="0" w:type="dxa"/>
              <w:bottom w:w="0" w:type="dxa"/>
              <w:right w:w="0" w:type="dxa"/>
            </w:tcMar>
            <w:vAlign w:val="center"/>
          </w:tcPr>
          <w:p w14:paraId="4CC716C8" w14:textId="4AA9C528" w:rsidR="00075F8E" w:rsidRDefault="002A46E2">
            <w:pPr>
              <w:pBdr>
                <w:bottom w:val="single" w:sz="10" w:space="1" w:color="000000"/>
              </w:pBdr>
              <w:spacing w:line="240" w:lineRule="auto"/>
            </w:pPr>
            <w:r>
              <w:t>Astra Vjatere</w:t>
            </w:r>
          </w:p>
        </w:tc>
        <w:tc>
          <w:tcPr>
            <w:tcW w:w="4856" w:type="dxa"/>
            <w:shd w:val="clear" w:color="auto" w:fill="FFFFFF"/>
            <w:noWrap/>
            <w:tcMar>
              <w:top w:w="0" w:type="dxa"/>
              <w:left w:w="0" w:type="dxa"/>
              <w:bottom w:w="0" w:type="dxa"/>
              <w:right w:w="0" w:type="dxa"/>
            </w:tcMar>
            <w:vAlign w:val="center"/>
          </w:tcPr>
          <w:p w14:paraId="0CC1D4B2" w14:textId="77777777" w:rsidR="00075F8E" w:rsidRDefault="00075F8E">
            <w:pPr>
              <w:spacing w:line="240" w:lineRule="auto"/>
            </w:pPr>
          </w:p>
        </w:tc>
      </w:tr>
      <w:tr w:rsidR="00075F8E" w14:paraId="510A59A3" w14:textId="77777777">
        <w:tc>
          <w:tcPr>
            <w:tcW w:w="4855" w:type="dxa"/>
            <w:shd w:val="clear" w:color="auto" w:fill="FFFFFF"/>
            <w:noWrap/>
            <w:tcMar>
              <w:top w:w="0" w:type="dxa"/>
              <w:left w:w="0" w:type="dxa"/>
              <w:bottom w:w="0" w:type="dxa"/>
              <w:right w:w="0" w:type="dxa"/>
            </w:tcMar>
            <w:vAlign w:val="center"/>
          </w:tcPr>
          <w:p w14:paraId="1A172D78" w14:textId="77777777" w:rsidR="00075F8E" w:rsidRDefault="00075F8E">
            <w:pPr>
              <w:spacing w:line="240" w:lineRule="auto"/>
            </w:pPr>
          </w:p>
        </w:tc>
        <w:tc>
          <w:tcPr>
            <w:tcW w:w="4856" w:type="dxa"/>
            <w:shd w:val="clear" w:color="auto" w:fill="FFFFFF"/>
            <w:noWrap/>
            <w:tcMar>
              <w:top w:w="0" w:type="dxa"/>
              <w:left w:w="0" w:type="dxa"/>
              <w:bottom w:w="0" w:type="dxa"/>
              <w:right w:w="0" w:type="dxa"/>
            </w:tcMar>
            <w:vAlign w:val="center"/>
          </w:tcPr>
          <w:p w14:paraId="06381171" w14:textId="77777777" w:rsidR="00075F8E" w:rsidRDefault="00CE0661">
            <w:pPr>
              <w:spacing w:line="240" w:lineRule="auto"/>
              <w:jc w:val="center"/>
            </w:pPr>
            <w:r>
              <w:t>(vārds, uzvārds, paraksts**)</w:t>
            </w:r>
          </w:p>
        </w:tc>
        <w:tc>
          <w:tcPr>
            <w:tcW w:w="4856" w:type="dxa"/>
            <w:shd w:val="clear" w:color="auto" w:fill="FFFFFF"/>
            <w:noWrap/>
            <w:tcMar>
              <w:top w:w="0" w:type="dxa"/>
              <w:left w:w="0" w:type="dxa"/>
              <w:bottom w:w="0" w:type="dxa"/>
              <w:right w:w="0" w:type="dxa"/>
            </w:tcMar>
            <w:vAlign w:val="center"/>
          </w:tcPr>
          <w:p w14:paraId="3001D30D" w14:textId="77777777" w:rsidR="00075F8E" w:rsidRDefault="00075F8E">
            <w:pPr>
              <w:spacing w:line="240" w:lineRule="auto"/>
            </w:pPr>
          </w:p>
        </w:tc>
      </w:tr>
    </w:tbl>
    <w:p w14:paraId="151D99BC" w14:textId="77777777" w:rsidR="00075F8E" w:rsidRDefault="00075F8E"/>
    <w:p w14:paraId="2B9F7AC5" w14:textId="77777777" w:rsidR="00075F8E" w:rsidRDefault="00CE0661">
      <w:r>
        <w:t>Piezīmes.</w:t>
      </w:r>
    </w:p>
    <w:p w14:paraId="20359742" w14:textId="77777777" w:rsidR="00075F8E" w:rsidRDefault="00CE0661">
      <w:r>
        <w:t>* Iesniedzējs (fiziskai personai – vārds, uzvārds, juridiskai personai – nosaukums) var tikt publiskots, ja viņš tam ir piekritis. Ja attiecināms, iesniedzējs norāda interešu pārstāvja reģistrācijas numuru.</w:t>
      </w:r>
    </w:p>
    <w:p w14:paraId="42F88197" w14:textId="77777777" w:rsidR="00075F8E" w:rsidRDefault="00CE0661">
      <w:r>
        <w:t>** Dokumenta rekvizītus "datums" un "paraksts" neaizpilda, ja elektroniskais dokuments ir sagatavots atbilstoši normatīvajiem aktiem par elektronisko dokumentu noformēšanu.</w:t>
      </w:r>
    </w:p>
    <w:sectPr w:rsidR="00075F8E">
      <w:headerReference w:type="default" r:id="rId32"/>
      <w:footerReference w:type="default" r:id="rId33"/>
      <w:headerReference w:type="first" r:id="rId34"/>
      <w:footerReference w:type="first" r:id="rId35"/>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86018" w14:textId="77777777" w:rsidR="00940545" w:rsidRDefault="00940545">
      <w:r>
        <w:separator/>
      </w:r>
    </w:p>
  </w:endnote>
  <w:endnote w:type="continuationSeparator" w:id="0">
    <w:p w14:paraId="1FEB7573" w14:textId="77777777" w:rsidR="00940545" w:rsidRDefault="00940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Palatino Linotype"/>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76435" w14:textId="77777777" w:rsidR="00075F8E" w:rsidRDefault="00CE0661">
    <w:pPr>
      <w:jc w:val="right"/>
    </w:pPr>
    <w:r>
      <w:rPr>
        <w:sz w:val="24"/>
        <w:szCs w:val="24"/>
      </w:rPr>
      <w:fldChar w:fldCharType="begin"/>
    </w:r>
    <w:r>
      <w:rPr>
        <w:sz w:val="24"/>
        <w:szCs w:val="24"/>
      </w:rPr>
      <w:instrText>PAGE</w:instrText>
    </w:r>
    <w:r>
      <w:rPr>
        <w:sz w:val="24"/>
        <w:szCs w:val="24"/>
      </w:rPr>
      <w:fldChar w:fldCharType="separate"/>
    </w:r>
    <w:r>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D490" w14:textId="77777777" w:rsidR="00174C44" w:rsidRDefault="00CE0661">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3FEE8" w14:textId="77777777" w:rsidR="00940545" w:rsidRDefault="00940545">
      <w:r>
        <w:separator/>
      </w:r>
    </w:p>
  </w:footnote>
  <w:footnote w:type="continuationSeparator" w:id="0">
    <w:p w14:paraId="5E87501B" w14:textId="77777777" w:rsidR="00940545" w:rsidRDefault="009405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E6F59" w14:textId="54B33662" w:rsidR="00075F8E" w:rsidRDefault="00CE0661">
    <w:pPr>
      <w:pStyle w:val="Header"/>
      <w:contextualSpacing w:val="0"/>
    </w:pPr>
    <w:r>
      <w:t>Viedokļu pārskats 26-TA-700</w:t>
    </w:r>
    <w:r>
      <w:b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2D7D0" w14:textId="69D1B6EA" w:rsidR="00075F8E" w:rsidRDefault="00CE0661">
    <w:pPr>
      <w:pStyle w:val="Header"/>
      <w:contextualSpacing w:val="0"/>
    </w:pPr>
    <w:r>
      <w:t>Viedokļu pārskats 26-TA-700</w:t>
    </w:r>
    <w: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99364F"/>
    <w:multiLevelType w:val="hybridMultilevel"/>
    <w:tmpl w:val="5C8850CA"/>
    <w:lvl w:ilvl="0" w:tplc="ED34A95C">
      <w:start w:val="1"/>
      <w:numFmt w:val="bullet"/>
      <w:lvlText w:val="•"/>
      <w:lvlJc w:val="left"/>
      <w:pPr>
        <w:tabs>
          <w:tab w:val="num" w:pos="720"/>
        </w:tabs>
        <w:ind w:left="720" w:hanging="360"/>
      </w:pPr>
      <w:rPr>
        <w:rFonts w:ascii="Arial" w:hAnsi="Arial" w:hint="default"/>
      </w:rPr>
    </w:lvl>
    <w:lvl w:ilvl="1" w:tplc="C56EB1C4" w:tentative="1">
      <w:start w:val="1"/>
      <w:numFmt w:val="bullet"/>
      <w:lvlText w:val="•"/>
      <w:lvlJc w:val="left"/>
      <w:pPr>
        <w:tabs>
          <w:tab w:val="num" w:pos="1440"/>
        </w:tabs>
        <w:ind w:left="1440" w:hanging="360"/>
      </w:pPr>
      <w:rPr>
        <w:rFonts w:ascii="Arial" w:hAnsi="Arial" w:hint="default"/>
      </w:rPr>
    </w:lvl>
    <w:lvl w:ilvl="2" w:tplc="38BAC8F6" w:tentative="1">
      <w:start w:val="1"/>
      <w:numFmt w:val="bullet"/>
      <w:lvlText w:val="•"/>
      <w:lvlJc w:val="left"/>
      <w:pPr>
        <w:tabs>
          <w:tab w:val="num" w:pos="2160"/>
        </w:tabs>
        <w:ind w:left="2160" w:hanging="360"/>
      </w:pPr>
      <w:rPr>
        <w:rFonts w:ascii="Arial" w:hAnsi="Arial" w:hint="default"/>
      </w:rPr>
    </w:lvl>
    <w:lvl w:ilvl="3" w:tplc="36244A4A" w:tentative="1">
      <w:start w:val="1"/>
      <w:numFmt w:val="bullet"/>
      <w:lvlText w:val="•"/>
      <w:lvlJc w:val="left"/>
      <w:pPr>
        <w:tabs>
          <w:tab w:val="num" w:pos="2880"/>
        </w:tabs>
        <w:ind w:left="2880" w:hanging="360"/>
      </w:pPr>
      <w:rPr>
        <w:rFonts w:ascii="Arial" w:hAnsi="Arial" w:hint="default"/>
      </w:rPr>
    </w:lvl>
    <w:lvl w:ilvl="4" w:tplc="4DA2923A" w:tentative="1">
      <w:start w:val="1"/>
      <w:numFmt w:val="bullet"/>
      <w:lvlText w:val="•"/>
      <w:lvlJc w:val="left"/>
      <w:pPr>
        <w:tabs>
          <w:tab w:val="num" w:pos="3600"/>
        </w:tabs>
        <w:ind w:left="3600" w:hanging="360"/>
      </w:pPr>
      <w:rPr>
        <w:rFonts w:ascii="Arial" w:hAnsi="Arial" w:hint="default"/>
      </w:rPr>
    </w:lvl>
    <w:lvl w:ilvl="5" w:tplc="5C5A67A6" w:tentative="1">
      <w:start w:val="1"/>
      <w:numFmt w:val="bullet"/>
      <w:lvlText w:val="•"/>
      <w:lvlJc w:val="left"/>
      <w:pPr>
        <w:tabs>
          <w:tab w:val="num" w:pos="4320"/>
        </w:tabs>
        <w:ind w:left="4320" w:hanging="360"/>
      </w:pPr>
      <w:rPr>
        <w:rFonts w:ascii="Arial" w:hAnsi="Arial" w:hint="default"/>
      </w:rPr>
    </w:lvl>
    <w:lvl w:ilvl="6" w:tplc="E4B0D174" w:tentative="1">
      <w:start w:val="1"/>
      <w:numFmt w:val="bullet"/>
      <w:lvlText w:val="•"/>
      <w:lvlJc w:val="left"/>
      <w:pPr>
        <w:tabs>
          <w:tab w:val="num" w:pos="5040"/>
        </w:tabs>
        <w:ind w:left="5040" w:hanging="360"/>
      </w:pPr>
      <w:rPr>
        <w:rFonts w:ascii="Arial" w:hAnsi="Arial" w:hint="default"/>
      </w:rPr>
    </w:lvl>
    <w:lvl w:ilvl="7" w:tplc="EBE2BA80" w:tentative="1">
      <w:start w:val="1"/>
      <w:numFmt w:val="bullet"/>
      <w:lvlText w:val="•"/>
      <w:lvlJc w:val="left"/>
      <w:pPr>
        <w:tabs>
          <w:tab w:val="num" w:pos="5760"/>
        </w:tabs>
        <w:ind w:left="5760" w:hanging="360"/>
      </w:pPr>
      <w:rPr>
        <w:rFonts w:ascii="Arial" w:hAnsi="Arial" w:hint="default"/>
      </w:rPr>
    </w:lvl>
    <w:lvl w:ilvl="8" w:tplc="60A889A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89B7D5E"/>
    <w:multiLevelType w:val="multilevel"/>
    <w:tmpl w:val="C30C20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1620641">
    <w:abstractNumId w:val="0"/>
  </w:num>
  <w:num w:numId="2" w16cid:durableId="5191252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F8E"/>
    <w:rsid w:val="00011FBA"/>
    <w:rsid w:val="000372FC"/>
    <w:rsid w:val="00053FA4"/>
    <w:rsid w:val="00072985"/>
    <w:rsid w:val="00075F8E"/>
    <w:rsid w:val="000A4AD7"/>
    <w:rsid w:val="000C2EA1"/>
    <w:rsid w:val="000E732C"/>
    <w:rsid w:val="0013460E"/>
    <w:rsid w:val="00174040"/>
    <w:rsid w:val="00174C44"/>
    <w:rsid w:val="0018497E"/>
    <w:rsid w:val="001A13E7"/>
    <w:rsid w:val="001B7007"/>
    <w:rsid w:val="00211EAE"/>
    <w:rsid w:val="00246CDC"/>
    <w:rsid w:val="002A46E2"/>
    <w:rsid w:val="002A60F5"/>
    <w:rsid w:val="00323BAF"/>
    <w:rsid w:val="00327B22"/>
    <w:rsid w:val="00373D11"/>
    <w:rsid w:val="0037519B"/>
    <w:rsid w:val="003C487E"/>
    <w:rsid w:val="003C60DD"/>
    <w:rsid w:val="00422404"/>
    <w:rsid w:val="00424834"/>
    <w:rsid w:val="004726AC"/>
    <w:rsid w:val="004F5FF5"/>
    <w:rsid w:val="005231A4"/>
    <w:rsid w:val="00524F87"/>
    <w:rsid w:val="005319AF"/>
    <w:rsid w:val="00533268"/>
    <w:rsid w:val="0053355C"/>
    <w:rsid w:val="00560111"/>
    <w:rsid w:val="00566BE5"/>
    <w:rsid w:val="0057212C"/>
    <w:rsid w:val="005A41AA"/>
    <w:rsid w:val="0060522D"/>
    <w:rsid w:val="00663517"/>
    <w:rsid w:val="00684861"/>
    <w:rsid w:val="006B1B22"/>
    <w:rsid w:val="006C02C2"/>
    <w:rsid w:val="006C6CF2"/>
    <w:rsid w:val="006D0C95"/>
    <w:rsid w:val="006D3AAE"/>
    <w:rsid w:val="00747424"/>
    <w:rsid w:val="007563B3"/>
    <w:rsid w:val="0079559C"/>
    <w:rsid w:val="007C6B95"/>
    <w:rsid w:val="007F5B7F"/>
    <w:rsid w:val="007F7E77"/>
    <w:rsid w:val="00812B66"/>
    <w:rsid w:val="00817FAB"/>
    <w:rsid w:val="00834F96"/>
    <w:rsid w:val="008D5A14"/>
    <w:rsid w:val="0090781D"/>
    <w:rsid w:val="00913177"/>
    <w:rsid w:val="00940545"/>
    <w:rsid w:val="00943E79"/>
    <w:rsid w:val="009535A7"/>
    <w:rsid w:val="00971687"/>
    <w:rsid w:val="00991229"/>
    <w:rsid w:val="00994168"/>
    <w:rsid w:val="009A6849"/>
    <w:rsid w:val="009A7E00"/>
    <w:rsid w:val="009C6258"/>
    <w:rsid w:val="00A24E1D"/>
    <w:rsid w:val="00A26C38"/>
    <w:rsid w:val="00A367AD"/>
    <w:rsid w:val="00A40B7D"/>
    <w:rsid w:val="00AE7571"/>
    <w:rsid w:val="00AF4A28"/>
    <w:rsid w:val="00B15739"/>
    <w:rsid w:val="00B72EFD"/>
    <w:rsid w:val="00B76EE4"/>
    <w:rsid w:val="00BA1A23"/>
    <w:rsid w:val="00BA397A"/>
    <w:rsid w:val="00BB05B4"/>
    <w:rsid w:val="00BD3518"/>
    <w:rsid w:val="00BF6357"/>
    <w:rsid w:val="00C4637D"/>
    <w:rsid w:val="00C55BE7"/>
    <w:rsid w:val="00C76B3F"/>
    <w:rsid w:val="00C84C33"/>
    <w:rsid w:val="00C86995"/>
    <w:rsid w:val="00CE0661"/>
    <w:rsid w:val="00D207CD"/>
    <w:rsid w:val="00D2279A"/>
    <w:rsid w:val="00D42A1D"/>
    <w:rsid w:val="00D46987"/>
    <w:rsid w:val="00D563A4"/>
    <w:rsid w:val="00D97705"/>
    <w:rsid w:val="00DC282B"/>
    <w:rsid w:val="00DE0F34"/>
    <w:rsid w:val="00DE3807"/>
    <w:rsid w:val="00DF377F"/>
    <w:rsid w:val="00E02340"/>
    <w:rsid w:val="00E34E78"/>
    <w:rsid w:val="00E56813"/>
    <w:rsid w:val="00E61892"/>
    <w:rsid w:val="00E65D5E"/>
    <w:rsid w:val="00E8250C"/>
    <w:rsid w:val="00ED2D5E"/>
    <w:rsid w:val="00EE6D04"/>
    <w:rsid w:val="00F04007"/>
    <w:rsid w:val="00F140C1"/>
    <w:rsid w:val="00FB4D5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75EEE"/>
  <w15:docId w15:val="{A47C6A43-37EF-4464-A912-EA8F9A20B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pPr>
      <w:spacing w:line="644" w:lineRule="auto"/>
    </w:pPr>
    <w:tblPr>
      <w:tblCellMar>
        <w:top w:w="0" w:type="dxa"/>
        <w:left w:w="0" w:type="dxa"/>
        <w:bottom w:w="0" w:type="dxa"/>
        <w:right w:w="0" w:type="dxa"/>
      </w:tblCellMar>
    </w:tblPr>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paragraph" w:customStyle="1" w:styleId="boldparagraphheader">
    <w:name w:val="bold_paragraph_header"/>
    <w:basedOn w:val="Normal"/>
    <w:next w:val="Normal"/>
    <w:pPr>
      <w:contextualSpacing/>
      <w:jc w:val="center"/>
    </w:pPr>
    <w:rPr>
      <w:b/>
    </w:rPr>
  </w:style>
  <w:style w:type="table" w:customStyle="1" w:styleId="1">
    <w:name w:val="1"/>
    <w:basedOn w:val="TableNormal1"/>
    <w:tblPr>
      <w:tblStyleRowBandSize w:val="1"/>
      <w:tblStyleColBandSize w:val="1"/>
    </w:tblPr>
  </w:style>
  <w:style w:type="character" w:styleId="Hyperlink">
    <w:name w:val="Hyperlink"/>
    <w:basedOn w:val="DefaultParagraphFont"/>
    <w:uiPriority w:val="99"/>
    <w:unhideWhenUsed/>
    <w:rsid w:val="00424834"/>
    <w:rPr>
      <w:color w:val="0563C1" w:themeColor="hyperlink"/>
      <w:u w:val="single"/>
    </w:rPr>
  </w:style>
  <w:style w:type="character" w:styleId="UnresolvedMention">
    <w:name w:val="Unresolved Mention"/>
    <w:basedOn w:val="DefaultParagraphFont"/>
    <w:uiPriority w:val="99"/>
    <w:semiHidden/>
    <w:unhideWhenUsed/>
    <w:rsid w:val="00424834"/>
    <w:rPr>
      <w:color w:val="605E5C"/>
      <w:shd w:val="clear" w:color="auto" w:fill="E1DFDD"/>
    </w:rPr>
  </w:style>
  <w:style w:type="paragraph" w:styleId="Footer">
    <w:name w:val="footer"/>
    <w:basedOn w:val="Normal"/>
    <w:link w:val="FooterChar"/>
    <w:uiPriority w:val="99"/>
    <w:unhideWhenUsed/>
    <w:rsid w:val="002A46E2"/>
    <w:pPr>
      <w:tabs>
        <w:tab w:val="center" w:pos="4153"/>
        <w:tab w:val="right" w:pos="8306"/>
      </w:tabs>
    </w:pPr>
  </w:style>
  <w:style w:type="character" w:customStyle="1" w:styleId="FooterChar">
    <w:name w:val="Footer Char"/>
    <w:basedOn w:val="DefaultParagraphFont"/>
    <w:link w:val="Footer"/>
    <w:uiPriority w:val="99"/>
    <w:rsid w:val="002A46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06058">
      <w:bodyDiv w:val="1"/>
      <w:marLeft w:val="0"/>
      <w:marRight w:val="0"/>
      <w:marTop w:val="0"/>
      <w:marBottom w:val="0"/>
      <w:divBdr>
        <w:top w:val="none" w:sz="0" w:space="0" w:color="auto"/>
        <w:left w:val="none" w:sz="0" w:space="0" w:color="auto"/>
        <w:bottom w:val="none" w:sz="0" w:space="0" w:color="auto"/>
        <w:right w:val="none" w:sz="0" w:space="0" w:color="auto"/>
      </w:divBdr>
      <w:divsChild>
        <w:div w:id="1864631340">
          <w:marLeft w:val="0"/>
          <w:marRight w:val="0"/>
          <w:marTop w:val="0"/>
          <w:marBottom w:val="0"/>
          <w:divBdr>
            <w:top w:val="none" w:sz="0" w:space="0" w:color="auto"/>
            <w:left w:val="none" w:sz="0" w:space="0" w:color="auto"/>
            <w:bottom w:val="none" w:sz="0" w:space="0" w:color="auto"/>
            <w:right w:val="none" w:sz="0" w:space="0" w:color="auto"/>
          </w:divBdr>
          <w:divsChild>
            <w:div w:id="622610810">
              <w:marLeft w:val="0"/>
              <w:marRight w:val="0"/>
              <w:marTop w:val="0"/>
              <w:marBottom w:val="0"/>
              <w:divBdr>
                <w:top w:val="none" w:sz="0" w:space="0" w:color="auto"/>
                <w:left w:val="none" w:sz="0" w:space="0" w:color="auto"/>
                <w:bottom w:val="none" w:sz="0" w:space="0" w:color="auto"/>
                <w:right w:val="none" w:sz="0" w:space="0" w:color="auto"/>
              </w:divBdr>
            </w:div>
            <w:div w:id="1954246636">
              <w:marLeft w:val="0"/>
              <w:marRight w:val="0"/>
              <w:marTop w:val="0"/>
              <w:marBottom w:val="0"/>
              <w:divBdr>
                <w:top w:val="none" w:sz="0" w:space="0" w:color="auto"/>
                <w:left w:val="none" w:sz="0" w:space="0" w:color="auto"/>
                <w:bottom w:val="none" w:sz="0" w:space="0" w:color="auto"/>
                <w:right w:val="none" w:sz="0" w:space="0" w:color="auto"/>
              </w:divBdr>
            </w:div>
            <w:div w:id="122283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16751">
      <w:bodyDiv w:val="1"/>
      <w:marLeft w:val="0"/>
      <w:marRight w:val="0"/>
      <w:marTop w:val="0"/>
      <w:marBottom w:val="0"/>
      <w:divBdr>
        <w:top w:val="none" w:sz="0" w:space="0" w:color="auto"/>
        <w:left w:val="none" w:sz="0" w:space="0" w:color="auto"/>
        <w:bottom w:val="none" w:sz="0" w:space="0" w:color="auto"/>
        <w:right w:val="none" w:sz="0" w:space="0" w:color="auto"/>
      </w:divBdr>
      <w:divsChild>
        <w:div w:id="400374438">
          <w:marLeft w:val="0"/>
          <w:marRight w:val="0"/>
          <w:marTop w:val="0"/>
          <w:marBottom w:val="0"/>
          <w:divBdr>
            <w:top w:val="none" w:sz="0" w:space="0" w:color="auto"/>
            <w:left w:val="none" w:sz="0" w:space="0" w:color="auto"/>
            <w:bottom w:val="none" w:sz="0" w:space="0" w:color="auto"/>
            <w:right w:val="none" w:sz="0" w:space="0" w:color="auto"/>
          </w:divBdr>
          <w:divsChild>
            <w:div w:id="1455519541">
              <w:marLeft w:val="0"/>
              <w:marRight w:val="0"/>
              <w:marTop w:val="0"/>
              <w:marBottom w:val="0"/>
              <w:divBdr>
                <w:top w:val="none" w:sz="0" w:space="0" w:color="auto"/>
                <w:left w:val="none" w:sz="0" w:space="0" w:color="auto"/>
                <w:bottom w:val="none" w:sz="0" w:space="0" w:color="auto"/>
                <w:right w:val="none" w:sz="0" w:space="0" w:color="auto"/>
              </w:divBdr>
            </w:div>
            <w:div w:id="170894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68900">
      <w:bodyDiv w:val="1"/>
      <w:marLeft w:val="0"/>
      <w:marRight w:val="0"/>
      <w:marTop w:val="0"/>
      <w:marBottom w:val="0"/>
      <w:divBdr>
        <w:top w:val="none" w:sz="0" w:space="0" w:color="auto"/>
        <w:left w:val="none" w:sz="0" w:space="0" w:color="auto"/>
        <w:bottom w:val="none" w:sz="0" w:space="0" w:color="auto"/>
        <w:right w:val="none" w:sz="0" w:space="0" w:color="auto"/>
      </w:divBdr>
      <w:divsChild>
        <w:div w:id="925652148">
          <w:marLeft w:val="0"/>
          <w:marRight w:val="0"/>
          <w:marTop w:val="0"/>
          <w:marBottom w:val="0"/>
          <w:divBdr>
            <w:top w:val="none" w:sz="0" w:space="0" w:color="auto"/>
            <w:left w:val="none" w:sz="0" w:space="0" w:color="auto"/>
            <w:bottom w:val="none" w:sz="0" w:space="0" w:color="auto"/>
            <w:right w:val="none" w:sz="0" w:space="0" w:color="auto"/>
          </w:divBdr>
          <w:divsChild>
            <w:div w:id="641926095">
              <w:marLeft w:val="0"/>
              <w:marRight w:val="0"/>
              <w:marTop w:val="0"/>
              <w:marBottom w:val="0"/>
              <w:divBdr>
                <w:top w:val="none" w:sz="0" w:space="0" w:color="auto"/>
                <w:left w:val="none" w:sz="0" w:space="0" w:color="auto"/>
                <w:bottom w:val="none" w:sz="0" w:space="0" w:color="auto"/>
                <w:right w:val="none" w:sz="0" w:space="0" w:color="auto"/>
              </w:divBdr>
            </w:div>
            <w:div w:id="852034940">
              <w:marLeft w:val="0"/>
              <w:marRight w:val="0"/>
              <w:marTop w:val="0"/>
              <w:marBottom w:val="0"/>
              <w:divBdr>
                <w:top w:val="none" w:sz="0" w:space="0" w:color="auto"/>
                <w:left w:val="none" w:sz="0" w:space="0" w:color="auto"/>
                <w:bottom w:val="none" w:sz="0" w:space="0" w:color="auto"/>
                <w:right w:val="none" w:sz="0" w:space="0" w:color="auto"/>
              </w:divBdr>
            </w:div>
            <w:div w:id="177872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177003">
      <w:bodyDiv w:val="1"/>
      <w:marLeft w:val="0"/>
      <w:marRight w:val="0"/>
      <w:marTop w:val="0"/>
      <w:marBottom w:val="0"/>
      <w:divBdr>
        <w:top w:val="none" w:sz="0" w:space="0" w:color="auto"/>
        <w:left w:val="none" w:sz="0" w:space="0" w:color="auto"/>
        <w:bottom w:val="none" w:sz="0" w:space="0" w:color="auto"/>
        <w:right w:val="none" w:sz="0" w:space="0" w:color="auto"/>
      </w:divBdr>
      <w:divsChild>
        <w:div w:id="1678657461">
          <w:marLeft w:val="0"/>
          <w:marRight w:val="0"/>
          <w:marTop w:val="0"/>
          <w:marBottom w:val="0"/>
          <w:divBdr>
            <w:top w:val="none" w:sz="0" w:space="0" w:color="auto"/>
            <w:left w:val="none" w:sz="0" w:space="0" w:color="auto"/>
            <w:bottom w:val="none" w:sz="0" w:space="0" w:color="auto"/>
            <w:right w:val="none" w:sz="0" w:space="0" w:color="auto"/>
          </w:divBdr>
          <w:divsChild>
            <w:div w:id="1701274734">
              <w:marLeft w:val="0"/>
              <w:marRight w:val="0"/>
              <w:marTop w:val="0"/>
              <w:marBottom w:val="0"/>
              <w:divBdr>
                <w:top w:val="none" w:sz="0" w:space="0" w:color="auto"/>
                <w:left w:val="none" w:sz="0" w:space="0" w:color="auto"/>
                <w:bottom w:val="none" w:sz="0" w:space="0" w:color="auto"/>
                <w:right w:val="none" w:sz="0" w:space="0" w:color="auto"/>
              </w:divBdr>
            </w:div>
            <w:div w:id="137504786">
              <w:marLeft w:val="0"/>
              <w:marRight w:val="0"/>
              <w:marTop w:val="0"/>
              <w:marBottom w:val="0"/>
              <w:divBdr>
                <w:top w:val="none" w:sz="0" w:space="0" w:color="auto"/>
                <w:left w:val="none" w:sz="0" w:space="0" w:color="auto"/>
                <w:bottom w:val="none" w:sz="0" w:space="0" w:color="auto"/>
                <w:right w:val="none" w:sz="0" w:space="0" w:color="auto"/>
              </w:divBdr>
            </w:div>
            <w:div w:id="159038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523679">
      <w:bodyDiv w:val="1"/>
      <w:marLeft w:val="0"/>
      <w:marRight w:val="0"/>
      <w:marTop w:val="0"/>
      <w:marBottom w:val="0"/>
      <w:divBdr>
        <w:top w:val="none" w:sz="0" w:space="0" w:color="auto"/>
        <w:left w:val="none" w:sz="0" w:space="0" w:color="auto"/>
        <w:bottom w:val="none" w:sz="0" w:space="0" w:color="auto"/>
        <w:right w:val="none" w:sz="0" w:space="0" w:color="auto"/>
      </w:divBdr>
      <w:divsChild>
        <w:div w:id="256986398">
          <w:marLeft w:val="0"/>
          <w:marRight w:val="0"/>
          <w:marTop w:val="0"/>
          <w:marBottom w:val="0"/>
          <w:divBdr>
            <w:top w:val="none" w:sz="0" w:space="0" w:color="auto"/>
            <w:left w:val="none" w:sz="0" w:space="0" w:color="auto"/>
            <w:bottom w:val="none" w:sz="0" w:space="0" w:color="auto"/>
            <w:right w:val="none" w:sz="0" w:space="0" w:color="auto"/>
          </w:divBdr>
        </w:div>
      </w:divsChild>
    </w:div>
    <w:div w:id="733314414">
      <w:bodyDiv w:val="1"/>
      <w:marLeft w:val="0"/>
      <w:marRight w:val="0"/>
      <w:marTop w:val="0"/>
      <w:marBottom w:val="0"/>
      <w:divBdr>
        <w:top w:val="none" w:sz="0" w:space="0" w:color="auto"/>
        <w:left w:val="none" w:sz="0" w:space="0" w:color="auto"/>
        <w:bottom w:val="none" w:sz="0" w:space="0" w:color="auto"/>
        <w:right w:val="none" w:sz="0" w:space="0" w:color="auto"/>
      </w:divBdr>
      <w:divsChild>
        <w:div w:id="1502771483">
          <w:marLeft w:val="0"/>
          <w:marRight w:val="0"/>
          <w:marTop w:val="0"/>
          <w:marBottom w:val="0"/>
          <w:divBdr>
            <w:top w:val="none" w:sz="0" w:space="0" w:color="auto"/>
            <w:left w:val="none" w:sz="0" w:space="0" w:color="auto"/>
            <w:bottom w:val="none" w:sz="0" w:space="0" w:color="auto"/>
            <w:right w:val="none" w:sz="0" w:space="0" w:color="auto"/>
          </w:divBdr>
          <w:divsChild>
            <w:div w:id="1911846907">
              <w:marLeft w:val="0"/>
              <w:marRight w:val="0"/>
              <w:marTop w:val="0"/>
              <w:marBottom w:val="0"/>
              <w:divBdr>
                <w:top w:val="none" w:sz="0" w:space="0" w:color="auto"/>
                <w:left w:val="none" w:sz="0" w:space="0" w:color="auto"/>
                <w:bottom w:val="none" w:sz="0" w:space="0" w:color="auto"/>
                <w:right w:val="none" w:sz="0" w:space="0" w:color="auto"/>
              </w:divBdr>
            </w:div>
            <w:div w:id="205600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195533">
      <w:bodyDiv w:val="1"/>
      <w:marLeft w:val="0"/>
      <w:marRight w:val="0"/>
      <w:marTop w:val="0"/>
      <w:marBottom w:val="0"/>
      <w:divBdr>
        <w:top w:val="none" w:sz="0" w:space="0" w:color="auto"/>
        <w:left w:val="none" w:sz="0" w:space="0" w:color="auto"/>
        <w:bottom w:val="none" w:sz="0" w:space="0" w:color="auto"/>
        <w:right w:val="none" w:sz="0" w:space="0" w:color="auto"/>
      </w:divBdr>
      <w:divsChild>
        <w:div w:id="209657322">
          <w:marLeft w:val="0"/>
          <w:marRight w:val="0"/>
          <w:marTop w:val="0"/>
          <w:marBottom w:val="0"/>
          <w:divBdr>
            <w:top w:val="none" w:sz="0" w:space="0" w:color="auto"/>
            <w:left w:val="none" w:sz="0" w:space="0" w:color="auto"/>
            <w:bottom w:val="none" w:sz="0" w:space="0" w:color="auto"/>
            <w:right w:val="none" w:sz="0" w:space="0" w:color="auto"/>
          </w:divBdr>
          <w:divsChild>
            <w:div w:id="1105810151">
              <w:marLeft w:val="0"/>
              <w:marRight w:val="0"/>
              <w:marTop w:val="0"/>
              <w:marBottom w:val="0"/>
              <w:divBdr>
                <w:top w:val="none" w:sz="0" w:space="0" w:color="auto"/>
                <w:left w:val="none" w:sz="0" w:space="0" w:color="auto"/>
                <w:bottom w:val="none" w:sz="0" w:space="0" w:color="auto"/>
                <w:right w:val="none" w:sz="0" w:space="0" w:color="auto"/>
              </w:divBdr>
            </w:div>
            <w:div w:id="181286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520509">
      <w:bodyDiv w:val="1"/>
      <w:marLeft w:val="0"/>
      <w:marRight w:val="0"/>
      <w:marTop w:val="0"/>
      <w:marBottom w:val="0"/>
      <w:divBdr>
        <w:top w:val="none" w:sz="0" w:space="0" w:color="auto"/>
        <w:left w:val="none" w:sz="0" w:space="0" w:color="auto"/>
        <w:bottom w:val="none" w:sz="0" w:space="0" w:color="auto"/>
        <w:right w:val="none" w:sz="0" w:space="0" w:color="auto"/>
      </w:divBdr>
      <w:divsChild>
        <w:div w:id="1017998595">
          <w:marLeft w:val="0"/>
          <w:marRight w:val="0"/>
          <w:marTop w:val="0"/>
          <w:marBottom w:val="0"/>
          <w:divBdr>
            <w:top w:val="none" w:sz="0" w:space="0" w:color="auto"/>
            <w:left w:val="none" w:sz="0" w:space="0" w:color="auto"/>
            <w:bottom w:val="none" w:sz="0" w:space="0" w:color="auto"/>
            <w:right w:val="none" w:sz="0" w:space="0" w:color="auto"/>
          </w:divBdr>
          <w:divsChild>
            <w:div w:id="363336890">
              <w:marLeft w:val="0"/>
              <w:marRight w:val="0"/>
              <w:marTop w:val="0"/>
              <w:marBottom w:val="0"/>
              <w:divBdr>
                <w:top w:val="none" w:sz="0" w:space="0" w:color="auto"/>
                <w:left w:val="none" w:sz="0" w:space="0" w:color="auto"/>
                <w:bottom w:val="none" w:sz="0" w:space="0" w:color="auto"/>
                <w:right w:val="none" w:sz="0" w:space="0" w:color="auto"/>
              </w:divBdr>
            </w:div>
            <w:div w:id="748380423">
              <w:marLeft w:val="0"/>
              <w:marRight w:val="0"/>
              <w:marTop w:val="0"/>
              <w:marBottom w:val="0"/>
              <w:divBdr>
                <w:top w:val="none" w:sz="0" w:space="0" w:color="auto"/>
                <w:left w:val="none" w:sz="0" w:space="0" w:color="auto"/>
                <w:bottom w:val="none" w:sz="0" w:space="0" w:color="auto"/>
                <w:right w:val="none" w:sz="0" w:space="0" w:color="auto"/>
              </w:divBdr>
            </w:div>
            <w:div w:id="1165054166">
              <w:marLeft w:val="0"/>
              <w:marRight w:val="0"/>
              <w:marTop w:val="0"/>
              <w:marBottom w:val="0"/>
              <w:divBdr>
                <w:top w:val="none" w:sz="0" w:space="0" w:color="auto"/>
                <w:left w:val="none" w:sz="0" w:space="0" w:color="auto"/>
                <w:bottom w:val="none" w:sz="0" w:space="0" w:color="auto"/>
                <w:right w:val="none" w:sz="0" w:space="0" w:color="auto"/>
              </w:divBdr>
            </w:div>
            <w:div w:id="1409499932">
              <w:marLeft w:val="0"/>
              <w:marRight w:val="0"/>
              <w:marTop w:val="0"/>
              <w:marBottom w:val="0"/>
              <w:divBdr>
                <w:top w:val="none" w:sz="0" w:space="0" w:color="auto"/>
                <w:left w:val="none" w:sz="0" w:space="0" w:color="auto"/>
                <w:bottom w:val="none" w:sz="0" w:space="0" w:color="auto"/>
                <w:right w:val="none" w:sz="0" w:space="0" w:color="auto"/>
              </w:divBdr>
            </w:div>
            <w:div w:id="155700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676078">
      <w:bodyDiv w:val="1"/>
      <w:marLeft w:val="0"/>
      <w:marRight w:val="0"/>
      <w:marTop w:val="0"/>
      <w:marBottom w:val="0"/>
      <w:divBdr>
        <w:top w:val="none" w:sz="0" w:space="0" w:color="auto"/>
        <w:left w:val="none" w:sz="0" w:space="0" w:color="auto"/>
        <w:bottom w:val="none" w:sz="0" w:space="0" w:color="auto"/>
        <w:right w:val="none" w:sz="0" w:space="0" w:color="auto"/>
      </w:divBdr>
      <w:divsChild>
        <w:div w:id="1942689281">
          <w:marLeft w:val="0"/>
          <w:marRight w:val="0"/>
          <w:marTop w:val="0"/>
          <w:marBottom w:val="0"/>
          <w:divBdr>
            <w:top w:val="none" w:sz="0" w:space="0" w:color="auto"/>
            <w:left w:val="none" w:sz="0" w:space="0" w:color="auto"/>
            <w:bottom w:val="none" w:sz="0" w:space="0" w:color="auto"/>
            <w:right w:val="none" w:sz="0" w:space="0" w:color="auto"/>
          </w:divBdr>
        </w:div>
      </w:divsChild>
    </w:div>
    <w:div w:id="1070734141">
      <w:bodyDiv w:val="1"/>
      <w:marLeft w:val="0"/>
      <w:marRight w:val="0"/>
      <w:marTop w:val="0"/>
      <w:marBottom w:val="0"/>
      <w:divBdr>
        <w:top w:val="none" w:sz="0" w:space="0" w:color="auto"/>
        <w:left w:val="none" w:sz="0" w:space="0" w:color="auto"/>
        <w:bottom w:val="none" w:sz="0" w:space="0" w:color="auto"/>
        <w:right w:val="none" w:sz="0" w:space="0" w:color="auto"/>
      </w:divBdr>
      <w:divsChild>
        <w:div w:id="1564292128">
          <w:marLeft w:val="0"/>
          <w:marRight w:val="0"/>
          <w:marTop w:val="0"/>
          <w:marBottom w:val="0"/>
          <w:divBdr>
            <w:top w:val="none" w:sz="0" w:space="0" w:color="auto"/>
            <w:left w:val="none" w:sz="0" w:space="0" w:color="auto"/>
            <w:bottom w:val="none" w:sz="0" w:space="0" w:color="auto"/>
            <w:right w:val="none" w:sz="0" w:space="0" w:color="auto"/>
          </w:divBdr>
          <w:divsChild>
            <w:div w:id="946692500">
              <w:marLeft w:val="0"/>
              <w:marRight w:val="0"/>
              <w:marTop w:val="0"/>
              <w:marBottom w:val="0"/>
              <w:divBdr>
                <w:top w:val="none" w:sz="0" w:space="0" w:color="auto"/>
                <w:left w:val="none" w:sz="0" w:space="0" w:color="auto"/>
                <w:bottom w:val="none" w:sz="0" w:space="0" w:color="auto"/>
                <w:right w:val="none" w:sz="0" w:space="0" w:color="auto"/>
              </w:divBdr>
            </w:div>
            <w:div w:id="435561773">
              <w:marLeft w:val="0"/>
              <w:marRight w:val="0"/>
              <w:marTop w:val="0"/>
              <w:marBottom w:val="0"/>
              <w:divBdr>
                <w:top w:val="none" w:sz="0" w:space="0" w:color="auto"/>
                <w:left w:val="none" w:sz="0" w:space="0" w:color="auto"/>
                <w:bottom w:val="none" w:sz="0" w:space="0" w:color="auto"/>
                <w:right w:val="none" w:sz="0" w:space="0" w:color="auto"/>
              </w:divBdr>
            </w:div>
            <w:div w:id="90140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973693">
      <w:bodyDiv w:val="1"/>
      <w:marLeft w:val="0"/>
      <w:marRight w:val="0"/>
      <w:marTop w:val="0"/>
      <w:marBottom w:val="0"/>
      <w:divBdr>
        <w:top w:val="none" w:sz="0" w:space="0" w:color="auto"/>
        <w:left w:val="none" w:sz="0" w:space="0" w:color="auto"/>
        <w:bottom w:val="none" w:sz="0" w:space="0" w:color="auto"/>
        <w:right w:val="none" w:sz="0" w:space="0" w:color="auto"/>
      </w:divBdr>
      <w:divsChild>
        <w:div w:id="687408464">
          <w:marLeft w:val="360"/>
          <w:marRight w:val="14"/>
          <w:marTop w:val="20"/>
          <w:marBottom w:val="0"/>
          <w:divBdr>
            <w:top w:val="none" w:sz="0" w:space="0" w:color="auto"/>
            <w:left w:val="none" w:sz="0" w:space="0" w:color="auto"/>
            <w:bottom w:val="none" w:sz="0" w:space="0" w:color="auto"/>
            <w:right w:val="none" w:sz="0" w:space="0" w:color="auto"/>
          </w:divBdr>
        </w:div>
        <w:div w:id="1941137419">
          <w:marLeft w:val="360"/>
          <w:marRight w:val="14"/>
          <w:marTop w:val="20"/>
          <w:marBottom w:val="0"/>
          <w:divBdr>
            <w:top w:val="none" w:sz="0" w:space="0" w:color="auto"/>
            <w:left w:val="none" w:sz="0" w:space="0" w:color="auto"/>
            <w:bottom w:val="none" w:sz="0" w:space="0" w:color="auto"/>
            <w:right w:val="none" w:sz="0" w:space="0" w:color="auto"/>
          </w:divBdr>
        </w:div>
        <w:div w:id="2029062477">
          <w:marLeft w:val="360"/>
          <w:marRight w:val="14"/>
          <w:marTop w:val="20"/>
          <w:marBottom w:val="0"/>
          <w:divBdr>
            <w:top w:val="none" w:sz="0" w:space="0" w:color="auto"/>
            <w:left w:val="none" w:sz="0" w:space="0" w:color="auto"/>
            <w:bottom w:val="none" w:sz="0" w:space="0" w:color="auto"/>
            <w:right w:val="none" w:sz="0" w:space="0" w:color="auto"/>
          </w:divBdr>
        </w:div>
        <w:div w:id="2039426552">
          <w:marLeft w:val="360"/>
          <w:marRight w:val="14"/>
          <w:marTop w:val="20"/>
          <w:marBottom w:val="0"/>
          <w:divBdr>
            <w:top w:val="none" w:sz="0" w:space="0" w:color="auto"/>
            <w:left w:val="none" w:sz="0" w:space="0" w:color="auto"/>
            <w:bottom w:val="none" w:sz="0" w:space="0" w:color="auto"/>
            <w:right w:val="none" w:sz="0" w:space="0" w:color="auto"/>
          </w:divBdr>
        </w:div>
      </w:divsChild>
    </w:div>
    <w:div w:id="1631788000">
      <w:bodyDiv w:val="1"/>
      <w:marLeft w:val="0"/>
      <w:marRight w:val="0"/>
      <w:marTop w:val="0"/>
      <w:marBottom w:val="0"/>
      <w:divBdr>
        <w:top w:val="none" w:sz="0" w:space="0" w:color="auto"/>
        <w:left w:val="none" w:sz="0" w:space="0" w:color="auto"/>
        <w:bottom w:val="none" w:sz="0" w:space="0" w:color="auto"/>
        <w:right w:val="none" w:sz="0" w:space="0" w:color="auto"/>
      </w:divBdr>
      <w:divsChild>
        <w:div w:id="1570723518">
          <w:marLeft w:val="0"/>
          <w:marRight w:val="0"/>
          <w:marTop w:val="0"/>
          <w:marBottom w:val="0"/>
          <w:divBdr>
            <w:top w:val="none" w:sz="0" w:space="0" w:color="auto"/>
            <w:left w:val="none" w:sz="0" w:space="0" w:color="auto"/>
            <w:bottom w:val="none" w:sz="0" w:space="0" w:color="auto"/>
            <w:right w:val="none" w:sz="0" w:space="0" w:color="auto"/>
          </w:divBdr>
          <w:divsChild>
            <w:div w:id="1840540595">
              <w:marLeft w:val="0"/>
              <w:marRight w:val="0"/>
              <w:marTop w:val="0"/>
              <w:marBottom w:val="0"/>
              <w:divBdr>
                <w:top w:val="none" w:sz="0" w:space="0" w:color="auto"/>
                <w:left w:val="none" w:sz="0" w:space="0" w:color="auto"/>
                <w:bottom w:val="none" w:sz="0" w:space="0" w:color="auto"/>
                <w:right w:val="none" w:sz="0" w:space="0" w:color="auto"/>
              </w:divBdr>
            </w:div>
            <w:div w:id="173935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873248">
      <w:bodyDiv w:val="1"/>
      <w:marLeft w:val="0"/>
      <w:marRight w:val="0"/>
      <w:marTop w:val="0"/>
      <w:marBottom w:val="0"/>
      <w:divBdr>
        <w:top w:val="none" w:sz="0" w:space="0" w:color="auto"/>
        <w:left w:val="none" w:sz="0" w:space="0" w:color="auto"/>
        <w:bottom w:val="none" w:sz="0" w:space="0" w:color="auto"/>
        <w:right w:val="none" w:sz="0" w:space="0" w:color="auto"/>
      </w:divBdr>
      <w:divsChild>
        <w:div w:id="1330792866">
          <w:marLeft w:val="0"/>
          <w:marRight w:val="0"/>
          <w:marTop w:val="0"/>
          <w:marBottom w:val="0"/>
          <w:divBdr>
            <w:top w:val="none" w:sz="0" w:space="0" w:color="auto"/>
            <w:left w:val="none" w:sz="0" w:space="0" w:color="auto"/>
            <w:bottom w:val="none" w:sz="0" w:space="0" w:color="auto"/>
            <w:right w:val="none" w:sz="0" w:space="0" w:color="auto"/>
          </w:divBdr>
          <w:divsChild>
            <w:div w:id="224491162">
              <w:marLeft w:val="0"/>
              <w:marRight w:val="0"/>
              <w:marTop w:val="0"/>
              <w:marBottom w:val="0"/>
              <w:divBdr>
                <w:top w:val="none" w:sz="0" w:space="0" w:color="auto"/>
                <w:left w:val="none" w:sz="0" w:space="0" w:color="auto"/>
                <w:bottom w:val="none" w:sz="0" w:space="0" w:color="auto"/>
                <w:right w:val="none" w:sz="0" w:space="0" w:color="auto"/>
              </w:divBdr>
            </w:div>
            <w:div w:id="53662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469334">
      <w:bodyDiv w:val="1"/>
      <w:marLeft w:val="0"/>
      <w:marRight w:val="0"/>
      <w:marTop w:val="0"/>
      <w:marBottom w:val="0"/>
      <w:divBdr>
        <w:top w:val="none" w:sz="0" w:space="0" w:color="auto"/>
        <w:left w:val="none" w:sz="0" w:space="0" w:color="auto"/>
        <w:bottom w:val="none" w:sz="0" w:space="0" w:color="auto"/>
        <w:right w:val="none" w:sz="0" w:space="0" w:color="auto"/>
      </w:divBdr>
      <w:divsChild>
        <w:div w:id="1141386753">
          <w:marLeft w:val="0"/>
          <w:marRight w:val="0"/>
          <w:marTop w:val="0"/>
          <w:marBottom w:val="0"/>
          <w:divBdr>
            <w:top w:val="none" w:sz="0" w:space="0" w:color="auto"/>
            <w:left w:val="none" w:sz="0" w:space="0" w:color="auto"/>
            <w:bottom w:val="none" w:sz="0" w:space="0" w:color="auto"/>
            <w:right w:val="none" w:sz="0" w:space="0" w:color="auto"/>
          </w:divBdr>
          <w:divsChild>
            <w:div w:id="54592667">
              <w:marLeft w:val="0"/>
              <w:marRight w:val="0"/>
              <w:marTop w:val="0"/>
              <w:marBottom w:val="0"/>
              <w:divBdr>
                <w:top w:val="none" w:sz="0" w:space="0" w:color="auto"/>
                <w:left w:val="none" w:sz="0" w:space="0" w:color="auto"/>
                <w:bottom w:val="none" w:sz="0" w:space="0" w:color="auto"/>
                <w:right w:val="none" w:sz="0" w:space="0" w:color="auto"/>
              </w:divBdr>
            </w:div>
            <w:div w:id="88868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274273">
      <w:bodyDiv w:val="1"/>
      <w:marLeft w:val="0"/>
      <w:marRight w:val="0"/>
      <w:marTop w:val="0"/>
      <w:marBottom w:val="0"/>
      <w:divBdr>
        <w:top w:val="none" w:sz="0" w:space="0" w:color="auto"/>
        <w:left w:val="none" w:sz="0" w:space="0" w:color="auto"/>
        <w:bottom w:val="none" w:sz="0" w:space="0" w:color="auto"/>
        <w:right w:val="none" w:sz="0" w:space="0" w:color="auto"/>
      </w:divBdr>
      <w:divsChild>
        <w:div w:id="158259548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lm.gov.lv/lv/informativi-izglitojosi-pasakumi-darba-devejiem-un-darbiniekiem" TargetMode="External"/><Relationship Id="rId18" Type="http://schemas.openxmlformats.org/officeDocument/2006/relationships/hyperlink" Target="https://youtube.com/playlist?list=PLl4idIxUxBoF6IS7BpI_uk_gnavogNrGH&amp;si=Xqi2cn8mZ8h7NmaL" TargetMode="External"/><Relationship Id="rId26" Type="http://schemas.openxmlformats.org/officeDocument/2006/relationships/hyperlink" Target="https://www.lm.gov.lv/lv/informativi-izglitojosi-pasakumi-darba-devejiem-un-darbiniekiem" TargetMode="External"/><Relationship Id="rId21" Type="http://schemas.openxmlformats.org/officeDocument/2006/relationships/hyperlink" Target="https://www.youtube.com/watch?v=xXB_B0rSngY" TargetMode="External"/><Relationship Id="rId34" Type="http://schemas.openxmlformats.org/officeDocument/2006/relationships/header" Target="header2.xml"/><Relationship Id="rId7" Type="http://schemas.openxmlformats.org/officeDocument/2006/relationships/hyperlink" Target="https://eige.europa.eu/gender-mainstreaming/toolkits/gender-neutral-job-evaluation" TargetMode="External"/><Relationship Id="rId12" Type="http://schemas.openxmlformats.org/officeDocument/2006/relationships/hyperlink" Target="https://www.lm.gov.lv/lv/informativi-izglitojosi-pasakumi-darba-devejiem-un-darbiniekiem" TargetMode="External"/><Relationship Id="rId17" Type="http://schemas.openxmlformats.org/officeDocument/2006/relationships/hyperlink" Target="https://youtube.com/playlist?list=PLl4idIxUxBoF6IS7BpI_uk_gnavogNrGH&amp;si=Xqi2cn8mZ8h7NmaL" TargetMode="External"/><Relationship Id="rId25" Type="http://schemas.openxmlformats.org/officeDocument/2006/relationships/hyperlink" Target="https://www.lm.gov.lv/lv/informativi-izglitojosi-pasakumi-darba-devejiem-un-darbiniekiem"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youtube.com/playlist?list=PLl4idIxUxBoF6IS7BpI_uk_gnavogNrGH&amp;si=Xqi2cn8mZ8h7NmaL" TargetMode="External"/><Relationship Id="rId20" Type="http://schemas.openxmlformats.org/officeDocument/2006/relationships/hyperlink" Target="https://eige.europa.eu/gender-mainstreaming/toolkits/gender-neutral-job-evaluation" TargetMode="External"/><Relationship Id="rId29" Type="http://schemas.openxmlformats.org/officeDocument/2006/relationships/hyperlink" Target="https://youtube.com/playlist?list=PLl4idIxUxBoF6IS7BpI_uk_gnavogNrGH&amp;si=Xqi2cn8mZ8h7Nma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m.gov.lv/lv/informativi-izglitojosi-pasakumi-darba-devejiem-un-darbiniekiem" TargetMode="External"/><Relationship Id="rId24" Type="http://schemas.openxmlformats.org/officeDocument/2006/relationships/hyperlink" Target="https://www.lm.gov.lv/lv/informativi-izglitojosi-pasakumi-darba-devejiem-un-darbiniekiem" TargetMode="External"/><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youtube.com/live/xgcG7mDmSwc?si=BuhPYB_jHsRZnpTT" TargetMode="External"/><Relationship Id="rId23" Type="http://schemas.openxmlformats.org/officeDocument/2006/relationships/hyperlink" Target="https://youtu.be/mkpywkAn1hQ?si=CMBMkhwZ9OtqBeWl" TargetMode="External"/><Relationship Id="rId28" Type="http://schemas.openxmlformats.org/officeDocument/2006/relationships/hyperlink" Target="https://www.youtube.com/live/xgcG7mDmSwc?si=BuhPYB_jHsRZnpTT" TargetMode="External"/><Relationship Id="rId36" Type="http://schemas.openxmlformats.org/officeDocument/2006/relationships/fontTable" Target="fontTable.xml"/><Relationship Id="rId10" Type="http://schemas.openxmlformats.org/officeDocument/2006/relationships/hyperlink" Target="https://youtu.be/mkpywkAn1hQ?si=CMBMkhwZ9OtqBeWl" TargetMode="External"/><Relationship Id="rId19" Type="http://schemas.openxmlformats.org/officeDocument/2006/relationships/hyperlink" Target="https://eige.europa.eu/gender-mainstreaming/toolkits/gender-neutral-job-evaluation" TargetMode="External"/><Relationship Id="rId31" Type="http://schemas.openxmlformats.org/officeDocument/2006/relationships/hyperlink" Target="https://youtube.com/playlist?list=PLl4idIxUxBoF6IS7BpI_uk_gnavogNrGH&amp;si=Xqi2cn8mZ8h7NmaL" TargetMode="External"/><Relationship Id="rId4" Type="http://schemas.openxmlformats.org/officeDocument/2006/relationships/webSettings" Target="webSettings.xml"/><Relationship Id="rId9" Type="http://schemas.openxmlformats.org/officeDocument/2006/relationships/hyperlink" Target="https://youtu.be/SPp3DaoOxVU?si=Fxv10_Y1XQAZH1Qk" TargetMode="External"/><Relationship Id="rId14" Type="http://schemas.openxmlformats.org/officeDocument/2006/relationships/hyperlink" Target="https://www.lm.gov.lv/lv/informativi-izglitojosi-pasakumi-darba-devejiem-un-darbiniekiem" TargetMode="External"/><Relationship Id="rId22" Type="http://schemas.openxmlformats.org/officeDocument/2006/relationships/hyperlink" Target="https://youtu.be/SPp3DaoOxVU?si=Fxv10_Y1XQAZH1Qk" TargetMode="External"/><Relationship Id="rId27" Type="http://schemas.openxmlformats.org/officeDocument/2006/relationships/hyperlink" Target="https://www.lm.gov.lv/lv/informativi-izglitojosi-pasakumi-darba-devejiem-un-darbiniekiem" TargetMode="External"/><Relationship Id="rId30" Type="http://schemas.openxmlformats.org/officeDocument/2006/relationships/hyperlink" Target="https://youtube.com/playlist?list=PLl4idIxUxBoF6IS7BpI_uk_gnavogNrGH&amp;si=Xqi2cn8mZ8h7NmaL" TargetMode="External"/><Relationship Id="rId35" Type="http://schemas.openxmlformats.org/officeDocument/2006/relationships/footer" Target="footer2.xml"/><Relationship Id="rId8" Type="http://schemas.openxmlformats.org/officeDocument/2006/relationships/hyperlink" Target="https://www.youtube.com/watch?v=xXB_B0rSngY" TargetMode="External"/><Relationship Id="rId3"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39</Pages>
  <Words>6899</Words>
  <Characters>46846</Characters>
  <Application>Microsoft Office Word</Application>
  <DocSecurity>0</DocSecurity>
  <Lines>918</Lines>
  <Paragraphs>325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viedoklu_parskats_26-TA-700.docx</vt:lpstr>
      <vt:lpstr>viedoklu_parskats_26-TA-700.docx</vt:lpstr>
    </vt:vector>
  </TitlesOfParts>
  <Company>LRLM</Company>
  <LinksUpToDate>false</LinksUpToDate>
  <CharactersWithSpaces>53420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viedoklu_parskats_26-TA-700.docx</dc:title>
  <dc:subject/>
  <dc:creator>Astra Vjatere</dc:creator>
  <cp:keywords/>
  <dc:description/>
  <cp:lastModifiedBy>Astra Vjatere</cp:lastModifiedBy>
  <cp:revision>2</cp:revision>
  <dcterms:created xsi:type="dcterms:W3CDTF">2026-05-11T13:13:00Z</dcterms:created>
  <dcterms:modified xsi:type="dcterms:W3CDTF">2026-05-11T13:13:00Z</dcterms:modified>
</cp:coreProperties>
</file>