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63B1713" w14:textId="77777777" w:rsidR="007B0500" w:rsidRDefault="00000000">
      <w:pPr>
        <w:spacing w:after="240"/>
        <w:jc w:val="center"/>
        <w:rPr>
          <w:b/>
        </w:rPr>
      </w:pPr>
      <w:r>
        <w:rPr>
          <w:b/>
        </w:rPr>
        <w:t>“Publiskās apspriešanas laikā 30.01.2025. - 13.02.2025. saņemto viedokļu, priekšlikumu un iebildumu apkopojums par Grozījumi Apdrošināšanas līguma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7B0500" w14:paraId="7B684C74" w14:textId="77777777">
        <w:tc>
          <w:tcPr>
            <w:tcW w:w="750" w:type="dxa"/>
            <w:shd w:val="clear" w:color="auto" w:fill="FFFFFF"/>
            <w:noWrap/>
            <w:tcMar>
              <w:top w:w="75" w:type="dxa"/>
              <w:left w:w="75" w:type="dxa"/>
              <w:bottom w:w="75" w:type="dxa"/>
              <w:right w:w="75" w:type="dxa"/>
            </w:tcMar>
            <w:vAlign w:val="center"/>
          </w:tcPr>
          <w:p w14:paraId="33F1221F" w14:textId="77777777" w:rsidR="007B0500" w:rsidRDefault="00000000">
            <w:pPr>
              <w:jc w:val="center"/>
            </w:pPr>
            <w:r>
              <w:rPr>
                <w:b/>
              </w:rPr>
              <w:t>Nr.p.k.</w:t>
            </w:r>
          </w:p>
        </w:tc>
        <w:tc>
          <w:tcPr>
            <w:tcW w:w="4055" w:type="dxa"/>
            <w:shd w:val="clear" w:color="auto" w:fill="FFFFFF"/>
            <w:noWrap/>
            <w:tcMar>
              <w:top w:w="75" w:type="dxa"/>
              <w:left w:w="75" w:type="dxa"/>
              <w:bottom w:w="75" w:type="dxa"/>
              <w:right w:w="75" w:type="dxa"/>
            </w:tcMar>
            <w:vAlign w:val="center"/>
          </w:tcPr>
          <w:p w14:paraId="44B6E085" w14:textId="77777777" w:rsidR="007B0500"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6D01F51" w14:textId="77777777" w:rsidR="007B0500"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694E2776" w14:textId="77777777" w:rsidR="007B0500"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764CCD2E" w14:textId="77777777" w:rsidR="007B0500" w:rsidRDefault="00000000">
            <w:pPr>
              <w:jc w:val="center"/>
            </w:pPr>
            <w:r>
              <w:rPr>
                <w:b/>
              </w:rPr>
              <w:t>Skaidrojums, kādā veidā viedoklis / priekšlikums / iebildums ir ņemts vērā vai ņemts vērā daļēji, vai pamatojums, ja viedoklis / priekšlikums / iebildums nav ņemts vērā</w:t>
            </w:r>
          </w:p>
        </w:tc>
      </w:tr>
      <w:tr w:rsidR="007B0500" w14:paraId="5CBB1D91" w14:textId="77777777">
        <w:tc>
          <w:tcPr>
            <w:tcW w:w="750" w:type="dxa"/>
            <w:shd w:val="clear" w:color="auto" w:fill="FFFFFF"/>
            <w:noWrap/>
            <w:tcMar>
              <w:top w:w="75" w:type="dxa"/>
              <w:left w:w="75" w:type="dxa"/>
              <w:bottom w:w="75" w:type="dxa"/>
              <w:right w:w="75" w:type="dxa"/>
            </w:tcMar>
            <w:vAlign w:val="center"/>
          </w:tcPr>
          <w:p w14:paraId="6B49E9F6" w14:textId="77777777" w:rsidR="007B0500" w:rsidRDefault="00000000">
            <w:pPr>
              <w:jc w:val="center"/>
            </w:pPr>
            <w:r>
              <w:t>1.</w:t>
            </w:r>
          </w:p>
        </w:tc>
        <w:tc>
          <w:tcPr>
            <w:tcW w:w="4055" w:type="dxa"/>
            <w:shd w:val="clear" w:color="auto" w:fill="FFFFFF"/>
            <w:noWrap/>
            <w:tcMar>
              <w:top w:w="75" w:type="dxa"/>
              <w:left w:w="75" w:type="dxa"/>
              <w:bottom w:w="75" w:type="dxa"/>
              <w:right w:w="75" w:type="dxa"/>
            </w:tcMar>
            <w:vAlign w:val="center"/>
          </w:tcPr>
          <w:p w14:paraId="0DA16AE5" w14:textId="77777777" w:rsidR="007B0500" w:rsidRDefault="00000000">
            <w:pPr>
              <w:jc w:val="left"/>
            </w:pPr>
            <w:r>
              <w:t>Biedrība "Latvijas Apdrošināšanas brokeru asociācija", Aigars Krūms</w:t>
            </w:r>
          </w:p>
        </w:tc>
        <w:tc>
          <w:tcPr>
            <w:tcW w:w="4056" w:type="dxa"/>
            <w:shd w:val="clear" w:color="auto" w:fill="FFFFFF"/>
            <w:noWrap/>
            <w:tcMar>
              <w:top w:w="75" w:type="dxa"/>
              <w:left w:w="75" w:type="dxa"/>
              <w:bottom w:w="75" w:type="dxa"/>
              <w:right w:w="75" w:type="dxa"/>
            </w:tcMar>
            <w:vAlign w:val="center"/>
          </w:tcPr>
          <w:p w14:paraId="048E95A8" w14:textId="77777777" w:rsidR="007B0500" w:rsidRDefault="00000000">
            <w:pPr>
              <w:jc w:val="left"/>
            </w:pPr>
            <w:r>
              <w:t>Ierosināto grozījumu mērķis ir pozitīvi vērtējams.</w:t>
            </w:r>
            <w:r>
              <w:br/>
            </w:r>
            <w:r>
              <w:br/>
              <w:t xml:space="preserve">Lai ierosinātais grozījums ALL 12.panta 1.daļā būtu efektīvi piemērojams, nevis tikai deklaratīvs, ierosinām šo grozījumu papildināt vēl arī ar šādu teikumu: </w:t>
            </w:r>
            <w:r w:rsidRPr="00B12937">
              <w:rPr>
                <w:i/>
              </w:rPr>
              <w:t>Strīda gadījumā apdrošinātājam ir pienākums pierādīt apdrošināšanas līguma noteikumu paziņošanas faktu</w:t>
            </w:r>
            <w:r w:rsidRPr="00B12937">
              <w:t>.</w:t>
            </w:r>
            <w:r>
              <w:br/>
            </w:r>
            <w:r>
              <w:br/>
              <w:t xml:space="preserve">Diskutabls ir ierosinājums AAL 19.panta grozījuma 2.daļā, nosakot, ka apdrošinātājs, noslēdzot apdrošināšanas līgumu, </w:t>
            </w:r>
            <w:r>
              <w:lastRenderedPageBreak/>
              <w:t xml:space="preserve">izsniedz apdrošinājuma ņēmējam apdrošināšanas līgumu – apdrošināšanas polisi, </w:t>
            </w:r>
            <w:r>
              <w:rPr>
                <w:u w:val="single"/>
              </w:rPr>
              <w:t>apdrošināšanas līguma noteikumus</w:t>
            </w:r>
            <w:r>
              <w:t xml:space="preserve"> un citus dokumentus, par kuriem apdrošinājuma ņēmējs un apdrošinātājs ir vienojušies. Apdrošināšanas līguma noteikumus apdrošinātāji ir publicējuši savā mājas lapā un tie ir nepārtraukti pieejami ikvienam interesentam, arī ikvienam apdrošinājuma ņēmējam. Nebūtu atbalstāma pieeja no digtalizācijas un apdrošināšanas noteikumu publiskās pieejamības atgriezties pie vēsturiskās arhaiskās sistēmas šos publiski pieejamos apdrošināšanas noteikumus katru reizi izdrukāt un izsniegt papīra formā. No pieredzes ir zināms, ka mūsdienās apdrošinājuma ņēmējs drīzāk izlasīs digitāli publiski pieejamos apdrošināšanas noteikumus, nevis lasīs uz daudzām lappusēm sīkā drukā papīra formā izdrukātos tos pašus apdrošināšanas noteikumus</w:t>
            </w:r>
            <w:r w:rsidRPr="00B12937">
              <w:t xml:space="preserve">. Šāda </w:t>
            </w:r>
            <w:r w:rsidRPr="00B12937">
              <w:lastRenderedPageBreak/>
              <w:t>prasība palielinās administratīvo slogu tajos gadījumos, kad apdrošināšanas polise tiek izsniegta papīra formā, kā arī būs pretrunā Latvijas valsts digitalizācijas un zaļā kursa politikas mērķiem. Tā arī</w:t>
            </w:r>
            <w:r>
              <w:t xml:space="preserve"> būtu samērā bezjēdzīga un dublējoša prasība, ņemot vērā ALL 12.panta 1.dalā ierosināto prasību, ka vēl pirms apdrošināšanas līguma </w:t>
            </w:r>
            <w:r w:rsidRPr="00B12937">
              <w:t>noslēgšanas ir jāpaziņo apdrošināšanas līguma noteikumi. Tādēļ drīzāk šajā grozījumā būtu nosakāms, ka: Apdrošinātājs, noslēdzot apdrošināšanas</w:t>
            </w:r>
            <w:r>
              <w:t xml:space="preserve"> līgumu, izsniedz apliecinājumu par apdrošināšanas līguma noslēgšanu — apdrošināšanas polisi, kurā skaidri norāda, kur un kādā veidā apdrošinājuma ņēmējs var iepazīties ar apdrošināšanas noteikumiem, un citus dokumentus, par kuriem apdrošinājuma ņēmējs un apdrošinātājs ir vienojušies.</w:t>
            </w:r>
          </w:p>
        </w:tc>
        <w:tc>
          <w:tcPr>
            <w:tcW w:w="1650" w:type="dxa"/>
            <w:shd w:val="clear" w:color="auto" w:fill="FFFFFF"/>
            <w:noWrap/>
            <w:tcMar>
              <w:top w:w="75" w:type="dxa"/>
              <w:left w:w="75" w:type="dxa"/>
              <w:bottom w:w="75" w:type="dxa"/>
              <w:right w:w="75" w:type="dxa"/>
            </w:tcMar>
            <w:vAlign w:val="center"/>
          </w:tcPr>
          <w:p w14:paraId="6D1005ED" w14:textId="77777777" w:rsidR="007B0500" w:rsidRDefault="007B0500">
            <w:pPr>
              <w:jc w:val="left"/>
            </w:pPr>
          </w:p>
        </w:tc>
        <w:tc>
          <w:tcPr>
            <w:tcW w:w="4056" w:type="dxa"/>
            <w:shd w:val="clear" w:color="auto" w:fill="FFFFFF"/>
            <w:noWrap/>
            <w:tcMar>
              <w:top w:w="75" w:type="dxa"/>
              <w:left w:w="75" w:type="dxa"/>
              <w:bottom w:w="75" w:type="dxa"/>
              <w:right w:w="75" w:type="dxa"/>
            </w:tcMar>
            <w:vAlign w:val="center"/>
          </w:tcPr>
          <w:p w14:paraId="1F00D976" w14:textId="77777777" w:rsidR="007B0500" w:rsidRDefault="00B12937" w:rsidP="00B12937">
            <w:pPr>
              <w:rPr>
                <w:iCs/>
              </w:rPr>
            </w:pPr>
            <w:r>
              <w:t xml:space="preserve">Apdrošināšanas līguma likuma (turpmāk – ALL) 12.panta pirmā daļa netiks papildināta ar Biedrības "Latvijas Apdrošināšanas brokeru asociācija" (turpmāk – LABA) ierosināto teikumu, ņemot vērā, ka jau šobrīd pēc būtības strīda gadījumā ir noteikts pienākums pierādīt </w:t>
            </w:r>
            <w:r w:rsidRPr="00B12937">
              <w:rPr>
                <w:iCs/>
              </w:rPr>
              <w:t>apdrošināšanas līguma noteikumu</w:t>
            </w:r>
            <w:r>
              <w:rPr>
                <w:iCs/>
              </w:rPr>
              <w:t xml:space="preserve"> un citu saistošo dokumentu</w:t>
            </w:r>
            <w:r w:rsidRPr="00B12937">
              <w:rPr>
                <w:iCs/>
              </w:rPr>
              <w:t xml:space="preserve"> paziņošanas faktu</w:t>
            </w:r>
            <w:r>
              <w:rPr>
                <w:iCs/>
              </w:rPr>
              <w:t xml:space="preserve">. Šāda teikuma pievienošana radīs liekvārdību ALL normās, tajā pašā laikā dubultā nosakot nosacījumu, kas jau ir nostiprināts ALL 11.panta otrajā daļā. </w:t>
            </w:r>
          </w:p>
          <w:p w14:paraId="285A85AC" w14:textId="77777777" w:rsidR="00B12937" w:rsidRDefault="00B12937" w:rsidP="00B12937">
            <w:pPr>
              <w:rPr>
                <w:iCs/>
              </w:rPr>
            </w:pPr>
            <w:r>
              <w:rPr>
                <w:iCs/>
              </w:rPr>
              <w:lastRenderedPageBreak/>
              <w:t xml:space="preserve">Attiecībā uz ALL 19.panta otro daļu, norādām, ka līdzīgi kā ir noteikts jau šobrīd, piemēram, ALL 12.panta pirmajā daļā, </w:t>
            </w:r>
            <w:r w:rsidRPr="00B12937">
              <w:rPr>
                <w:iCs/>
              </w:rPr>
              <w:t xml:space="preserve">apdrošinātājs pirms apdrošināšanas līguma noslēgšanas paziņo apdrošinājuma ņēmējam apdrošināšanas līguma noteikumus rakstveidā </w:t>
            </w:r>
            <w:r w:rsidRPr="00B12937">
              <w:rPr>
                <w:b/>
                <w:bCs/>
                <w:iCs/>
                <w:u w:val="single"/>
              </w:rPr>
              <w:t>vai</w:t>
            </w:r>
            <w:r w:rsidRPr="00B12937">
              <w:rPr>
                <w:iCs/>
              </w:rPr>
              <w:t xml:space="preserve"> ar cita apdrošinājuma ņēmējam pieejama pastāvīga informācijas nesēja starpniecību.</w:t>
            </w:r>
            <w:r>
              <w:rPr>
                <w:iCs/>
              </w:rPr>
              <w:t xml:space="preserve"> Šāds nosacījums neizslēdz iespēju paziņošanu veikt vai nu rakstveidā vai ar cita </w:t>
            </w:r>
            <w:r w:rsidRPr="00B12937">
              <w:rPr>
                <w:iCs/>
              </w:rPr>
              <w:t>pastāvīga informācijas nesēja starpniecību</w:t>
            </w:r>
            <w:r>
              <w:rPr>
                <w:iCs/>
              </w:rPr>
              <w:t xml:space="preserve">. </w:t>
            </w:r>
          </w:p>
          <w:p w14:paraId="1AC04245" w14:textId="40E0D4EA" w:rsidR="00B12937" w:rsidRDefault="00B12937" w:rsidP="00B12937">
            <w:r>
              <w:t xml:space="preserve">Papildus tiks veikts skaidrojums likumprojekta anotācijā, norādot, ka </w:t>
            </w:r>
            <w:r w:rsidRPr="00B12937">
              <w:t xml:space="preserve">ņemot vērā apdrošināšanas brokeru darbības specifiku apdrošināšanas izplatīšanā, likumprojektā ietvertā ALL 12.panta pirmajā daļā noteiktais pienākums paziņot apdrošināšanas ņēmējam apdrošināšanas līguma noteikumus un 19.panta otrajā daļā noteiktais pienākums izsniegt apdrošināšanas ņēmējam </w:t>
            </w:r>
            <w:r w:rsidRPr="00B12937">
              <w:lastRenderedPageBreak/>
              <w:t>apdrošināšanas līguma noteikumus būs uzskatāms par izpildītu, ja apdrošināšanas brokeris izsniegs apdrošinājuma ņēmējam tā izvēlētā apdrošināšanas piedāvājuma apdrošināšanas līguma noteikumus pēc tam, kad apdrošinājuma ņēmējs pēc iepazīšanās ar apdrošināšanas brokera veikto vispusīgo apdrošināšanas piedāvājumu analīzi būs izvēlējies sev piemērotāko apdrošināšanas piedāvājumu. Likumprojektā ietvertā ALL 12.panta pirmā daļa un 19.panta otrā daļa neparedz paziņot vai izsniegt apdrošinājuma ņēmējam visu vispusīgā apdrošināšanas piedāvājumu analīzē salīdzināto apdrošināšanas piedāvājumu apdrošināšanas līguma noteikumus kopā ar vispusīgas apdrošināšanas piedāvājumu analīzes rezultātiem.</w:t>
            </w:r>
          </w:p>
        </w:tc>
      </w:tr>
      <w:tr w:rsidR="007B0500" w14:paraId="63111D68" w14:textId="77777777">
        <w:tc>
          <w:tcPr>
            <w:tcW w:w="750" w:type="dxa"/>
            <w:shd w:val="clear" w:color="auto" w:fill="FFFFFF"/>
            <w:noWrap/>
            <w:tcMar>
              <w:top w:w="75" w:type="dxa"/>
              <w:left w:w="75" w:type="dxa"/>
              <w:bottom w:w="75" w:type="dxa"/>
              <w:right w:w="75" w:type="dxa"/>
            </w:tcMar>
            <w:vAlign w:val="center"/>
          </w:tcPr>
          <w:p w14:paraId="116A2EFA" w14:textId="77777777" w:rsidR="007B0500" w:rsidRDefault="00000000">
            <w:pPr>
              <w:jc w:val="center"/>
            </w:pPr>
            <w:r>
              <w:lastRenderedPageBreak/>
              <w:t>2.</w:t>
            </w:r>
          </w:p>
        </w:tc>
        <w:tc>
          <w:tcPr>
            <w:tcW w:w="4055" w:type="dxa"/>
            <w:shd w:val="clear" w:color="auto" w:fill="FFFFFF"/>
            <w:noWrap/>
            <w:tcMar>
              <w:top w:w="75" w:type="dxa"/>
              <w:left w:w="75" w:type="dxa"/>
              <w:bottom w:w="75" w:type="dxa"/>
              <w:right w:w="75" w:type="dxa"/>
            </w:tcMar>
            <w:vAlign w:val="center"/>
          </w:tcPr>
          <w:p w14:paraId="3198E47E" w14:textId="77777777" w:rsidR="007B0500" w:rsidRDefault="00000000">
            <w:pPr>
              <w:jc w:val="left"/>
            </w:pPr>
            <w:r>
              <w:t>Biedrība "Latvijas Profesionālo Apdrošināšanas brokeru Asociācija"</w:t>
            </w:r>
          </w:p>
        </w:tc>
        <w:tc>
          <w:tcPr>
            <w:tcW w:w="4056" w:type="dxa"/>
            <w:shd w:val="clear" w:color="auto" w:fill="FFFFFF"/>
            <w:noWrap/>
            <w:tcMar>
              <w:top w:w="75" w:type="dxa"/>
              <w:left w:w="75" w:type="dxa"/>
              <w:bottom w:w="75" w:type="dxa"/>
              <w:right w:w="75" w:type="dxa"/>
            </w:tcMar>
            <w:vAlign w:val="center"/>
          </w:tcPr>
          <w:p w14:paraId="51828E0A" w14:textId="4C5C3336" w:rsidR="007B0500" w:rsidRDefault="00000000">
            <w:pPr>
              <w:jc w:val="left"/>
            </w:pPr>
            <w:r>
              <w:t>Neatbalstām:</w:t>
            </w:r>
            <w:r>
              <w:br/>
              <w:t>2. Izteikt 12. panta pirmo daļu šādā redakcijā:</w:t>
            </w:r>
            <w:r>
              <w:br/>
              <w:t>"(1) Apdrošinātājs pirms apdrošināšanas līguma noslēgšanas paziņo</w:t>
            </w:r>
            <w:r>
              <w:br/>
              <w:t>apdrošinājuma ņēmējam apdrošināšanas līguma noteikumus rakstveidā vai ar cita apdrošinājuma ņēmējam pieejama pastāvīga informācijas nesēja starpniecību."</w:t>
            </w:r>
            <w:r>
              <w:br/>
            </w:r>
            <w:r>
              <w:br/>
              <w:t xml:space="preserve">Šīs likuma izmaiņas ir sagatavotas bez konsultēšanās ar apdrošināšanas starpnieku nozari un attiecīgi tie nav saskaņoti ar tirgus realitāti. Šo </w:t>
            </w:r>
            <w:r w:rsidRPr="00085CB1">
              <w:t>izmaiņu punktu neatbalstām, jo tas pēc būtības izslēdz veselu virkni no pārdošanas kanāliem un metodēm – kā pārdošanu klātienē vai pārdošanu pa telefonu, kur nav iespējams klientam paziņot šos noteikumus rakstveidā vai ar pastāvīgo informācijas nesēju.</w:t>
            </w:r>
            <w:r>
              <w:br/>
            </w:r>
            <w:r>
              <w:br/>
              <w:t>Neatbalstām:</w:t>
            </w:r>
            <w:r>
              <w:br/>
            </w:r>
            <w:r>
              <w:lastRenderedPageBreak/>
              <w:t>3.</w:t>
            </w:r>
            <w:r>
              <w:br/>
              <w:t>Izteikt 19. pantu šādāredakcijā:</w:t>
            </w:r>
            <w:r>
              <w:br/>
              <w:t>"</w:t>
            </w:r>
            <w:r>
              <w:br/>
              <w:t>19. pants. Apdrošināšanaspolise</w:t>
            </w:r>
            <w:r>
              <w:br/>
              <w:t>(1) Apdrošināšanas līgumssastāv no apdrošināšanaspolises, apdrošināšanas līgumanoteikumiem, kā arī visiem šālīguma grozījumiem unpapildinājumiem, par kuriemapdrošinātājs un apdrošinājumaņēmējs ir vienojušiesapdrošināšanas līguma darbībaslaikā.</w:t>
            </w:r>
            <w:r>
              <w:br/>
              <w:t xml:space="preserve">(2) Apdrošinātājs, noslēdzotapdrošināšanas līgumu, izsniedzapdrošinājuma ņēmējamapdrošināšanas līgumu –apdrošināšanas polisi,apdrošināšanas līgumanoteikumus un citusdokumentus, par kuriemapdrošinājuma ņēmējs </w:t>
            </w:r>
            <w:r w:rsidRPr="00085CB1">
              <w:t>unapdrošinātājs ir vienojušies.</w:t>
            </w:r>
            <w:r w:rsidRPr="00085CB1">
              <w:br/>
              <w:t>(3) Apliecinājums par</w:t>
            </w:r>
            <w:r w:rsidR="00EB3F2D" w:rsidRPr="00085CB1">
              <w:t xml:space="preserve"> </w:t>
            </w:r>
            <w:r w:rsidRPr="00085CB1">
              <w:t>apdrošināšanas līguma</w:t>
            </w:r>
            <w:r w:rsidR="00EB3F2D" w:rsidRPr="00085CB1">
              <w:t xml:space="preserve"> </w:t>
            </w:r>
            <w:r w:rsidRPr="00085CB1">
              <w:t>noslēgšanu ir apdrošināšanas</w:t>
            </w:r>
            <w:r w:rsidR="00EB3F2D" w:rsidRPr="00085CB1">
              <w:t xml:space="preserve"> </w:t>
            </w:r>
            <w:r w:rsidRPr="00085CB1">
              <w:t>polise. Ja</w:t>
            </w:r>
            <w:r>
              <w:t xml:space="preserve"> uz apdrošināšanaspolises nav pušu </w:t>
            </w:r>
            <w:r>
              <w:lastRenderedPageBreak/>
              <w:t>parakstu, tasneietekmē apdrošināšanaslīguma spēkā esību, ja irievēroti apdrošināšanas līgumaspēkā stāšanās noteikumi.</w:t>
            </w:r>
            <w:r>
              <w:br/>
              <w:t>(4) Lai veicinātu apdrošinājumaņēmēja – fiziskās personas –izpratni par noslēgtoapdrošināšanas līgumu,apdrošināšanas polisē norādavisus apdrošināšanas līgumanoteikumos ietvertos apdrošināmos riskus, atzīmējotapdrošinātos riskus unneapdrošinātos riskus.Neapdrošinātie riski ir tādi, kuriir ietverti apdrošināšanaslīguma noteikumos, betapdrošinājuma ņēmējs navizvēlējies tos apdrošināt." </w:t>
            </w:r>
            <w:r>
              <w:br/>
            </w:r>
            <w:r>
              <w:br/>
            </w:r>
            <w:r w:rsidRPr="006F3400">
              <w:t xml:space="preserve">Šīs likuma izmaiņas ir sagatavotas bez konsultēšanās ar apdrošināšanas starpnieku nozari un attiecīgi tie nav saskaņoti ar tirgus realitāti. Šo izmaiņu punktu neatbalstām, jo apdrošināšanas līguma sastāvdaļai ir jābūt arī </w:t>
            </w:r>
            <w:r w:rsidRPr="006F3400">
              <w:lastRenderedPageBreak/>
              <w:t>pieteikuma informācijai, kuri ir jābūt pieejamai apdrošinājuma ņēmējam</w:t>
            </w:r>
            <w:r w:rsidRPr="006F3400">
              <w:br/>
              <w:t xml:space="preserve">Bez tam šāds formulējums nepieņemami sašaurina apdrošinājuma segumu, atstājot tikai uzskaitītos riskus un izslēdz </w:t>
            </w:r>
            <w:r w:rsidRPr="006F3400">
              <w:rPr>
                <w:b/>
                <w:bCs/>
              </w:rPr>
              <w:t>“visu risku”</w:t>
            </w:r>
            <w:r w:rsidRPr="006F3400">
              <w:t xml:space="preserve"> polises.</w:t>
            </w:r>
            <w:r>
              <w:br/>
            </w:r>
          </w:p>
        </w:tc>
        <w:tc>
          <w:tcPr>
            <w:tcW w:w="1650" w:type="dxa"/>
            <w:shd w:val="clear" w:color="auto" w:fill="FFFFFF"/>
            <w:noWrap/>
            <w:tcMar>
              <w:top w:w="75" w:type="dxa"/>
              <w:left w:w="75" w:type="dxa"/>
              <w:bottom w:w="75" w:type="dxa"/>
              <w:right w:w="75" w:type="dxa"/>
            </w:tcMar>
            <w:vAlign w:val="center"/>
          </w:tcPr>
          <w:p w14:paraId="188FEE6D" w14:textId="77777777" w:rsidR="007B0500" w:rsidRDefault="007B0500">
            <w:pPr>
              <w:jc w:val="left"/>
            </w:pPr>
          </w:p>
        </w:tc>
        <w:tc>
          <w:tcPr>
            <w:tcW w:w="4056" w:type="dxa"/>
            <w:shd w:val="clear" w:color="auto" w:fill="FFFFFF"/>
            <w:noWrap/>
            <w:tcMar>
              <w:top w:w="75" w:type="dxa"/>
              <w:left w:w="75" w:type="dxa"/>
              <w:bottom w:w="75" w:type="dxa"/>
              <w:right w:w="75" w:type="dxa"/>
            </w:tcMar>
            <w:vAlign w:val="center"/>
          </w:tcPr>
          <w:p w14:paraId="6C9F81E0" w14:textId="77777777" w:rsidR="007B0500" w:rsidRDefault="00085CB1" w:rsidP="00085CB1">
            <w:r>
              <w:t>Norādām, ka jau šobrīd ir spēkā esošs regulējums Ministru kabineta noteikumu Nr. 648 “</w:t>
            </w:r>
            <w:r w:rsidRPr="00085CB1">
              <w:rPr>
                <w:i/>
                <w:iCs/>
              </w:rPr>
              <w:t>Noteikumi par distances līgumu par finanšu pakalpojumu sniegšanu</w:t>
            </w:r>
            <w:r>
              <w:t>” 13. un 16. punktā. Ar šiem punktiem attiecīgi ir noteikts, ka “</w:t>
            </w:r>
            <w:r w:rsidRPr="00085CB1">
              <w:rPr>
                <w:i/>
                <w:iCs/>
              </w:rPr>
              <w:t>ja saziņas līdzeklis distances līguma slēgšanā ir balss telefonija, pakalpojuma sniedzējs informē patērētāju par to, kāda papildu informācija par piedāvāto pakalpojumu ir pieejama pēc patērētāja pieprasījuma. Uzskatāms, ka pakalpojuma sniedzējs ir pilnībā informējis patērētāju par pakalpojumu, ja sniegtā informācija atbilst šo noteikumu 16. punkta prasībām</w:t>
            </w:r>
            <w:r>
              <w:t>”, un attiecīgi, ka “</w:t>
            </w:r>
            <w:r w:rsidRPr="00085CB1">
              <w:rPr>
                <w:i/>
                <w:iCs/>
              </w:rPr>
              <w:t>pakalpojuma sniedzējs patērētājam rakstiski vai ar cita patērētājam pieejama pastāvīga informācijas nesēja starpniecību paziņo visus distances līguma noteikumus un šo noteikumu </w:t>
            </w:r>
            <w:hyperlink r:id="rId7" w:anchor="p6" w:history="1">
              <w:r w:rsidRPr="00085CB1">
                <w:rPr>
                  <w:rStyle w:val="Hyperlink"/>
                  <w:i/>
                  <w:iCs/>
                </w:rPr>
                <w:t>6.</w:t>
              </w:r>
            </w:hyperlink>
            <w:r w:rsidRPr="00085CB1">
              <w:rPr>
                <w:i/>
                <w:iCs/>
              </w:rPr>
              <w:t>, </w:t>
            </w:r>
            <w:hyperlink r:id="rId8" w:anchor="p7" w:history="1">
              <w:r w:rsidRPr="00085CB1">
                <w:rPr>
                  <w:rStyle w:val="Hyperlink"/>
                  <w:i/>
                  <w:iCs/>
                </w:rPr>
                <w:t>7.</w:t>
              </w:r>
            </w:hyperlink>
            <w:r w:rsidRPr="00085CB1">
              <w:rPr>
                <w:i/>
                <w:iCs/>
              </w:rPr>
              <w:t>, </w:t>
            </w:r>
            <w:hyperlink r:id="rId9" w:anchor="p8" w:history="1">
              <w:r w:rsidRPr="00085CB1">
                <w:rPr>
                  <w:rStyle w:val="Hyperlink"/>
                  <w:i/>
                  <w:iCs/>
                </w:rPr>
                <w:t>8.</w:t>
              </w:r>
            </w:hyperlink>
            <w:r w:rsidRPr="00085CB1">
              <w:rPr>
                <w:i/>
                <w:iCs/>
              </w:rPr>
              <w:t>, </w:t>
            </w:r>
            <w:hyperlink r:id="rId10" w:anchor="p9" w:history="1">
              <w:r w:rsidRPr="00085CB1">
                <w:rPr>
                  <w:rStyle w:val="Hyperlink"/>
                  <w:i/>
                  <w:iCs/>
                </w:rPr>
                <w:t>9. </w:t>
              </w:r>
            </w:hyperlink>
            <w:r w:rsidRPr="00085CB1">
              <w:rPr>
                <w:i/>
                <w:iCs/>
              </w:rPr>
              <w:t>un </w:t>
            </w:r>
            <w:hyperlink r:id="rId11" w:anchor="p15" w:history="1">
              <w:r w:rsidRPr="00085CB1">
                <w:rPr>
                  <w:rStyle w:val="Hyperlink"/>
                  <w:i/>
                  <w:iCs/>
                </w:rPr>
                <w:t>15. punktā</w:t>
              </w:r>
            </w:hyperlink>
            <w:r w:rsidRPr="00085CB1">
              <w:rPr>
                <w:i/>
                <w:iCs/>
              </w:rPr>
              <w:t xml:space="preserve"> minēto informāciju, pirms patērētājam kļuvis saistošs jebkurš </w:t>
            </w:r>
            <w:r w:rsidRPr="00085CB1">
              <w:rPr>
                <w:i/>
                <w:iCs/>
              </w:rPr>
              <w:lastRenderedPageBreak/>
              <w:t>distances līgums vai piedāvājums. [..]</w:t>
            </w:r>
            <w:r>
              <w:t xml:space="preserve">”. </w:t>
            </w:r>
          </w:p>
          <w:p w14:paraId="697B0AD5" w14:textId="77777777" w:rsidR="00085CB1" w:rsidRDefault="00085CB1" w:rsidP="00085CB1">
            <w:r>
              <w:t>Tostarp arī ALL 12.panta otrā daļa nosaka, ka “</w:t>
            </w:r>
            <w:r w:rsidRPr="00085CB1">
              <w:rPr>
                <w:i/>
                <w:iCs/>
              </w:rPr>
              <w:t>ja apdrošināšanas līgums noslēgts pēc apdrošinājuma ņēmēja pieprasījuma, izmantojot distances saziņas līdzekli, ar kuru nebija iespējams nosūtīt apdrošināšanas līguma noteikumus rakstveidā, vai ar cita apdrošinājuma ņēmējam pieejama pastāvīga informācijas nesēja starpniecību, apdrošinātājs apdrošināšanas līguma noteikumus nosūta apdrošinājuma ņēmējam ne vēlāk kā nākamajā darbdienā pēc šā līguma noslēgšanas</w:t>
            </w:r>
            <w:r w:rsidRPr="00085CB1">
              <w:t>.</w:t>
            </w:r>
            <w:r>
              <w:t>”.</w:t>
            </w:r>
          </w:p>
          <w:p w14:paraId="3E59F818" w14:textId="77777777" w:rsidR="00085CB1" w:rsidRDefault="00085CB1" w:rsidP="00085CB1"/>
          <w:p w14:paraId="5727CB6F" w14:textId="77777777" w:rsidR="00085CB1" w:rsidRDefault="00085CB1" w:rsidP="00085CB1">
            <w:r>
              <w:t>Attiecībā uz ALL 19.panta trešo daļu, norādām, ka apdrošināšanas p</w:t>
            </w:r>
            <w:r w:rsidRPr="00085CB1">
              <w:t>olise apliecina apdrošināšanas līguma noslēgšanu</w:t>
            </w:r>
            <w:r>
              <w:t xml:space="preserve">, līdz ar to tas ir uzskatāms par apliecinājumu. Likumprojektā tiks veikti redakcionāli 19.panta trešās daļas pirmā teikumi precizējumi. </w:t>
            </w:r>
          </w:p>
          <w:p w14:paraId="1C148BFD" w14:textId="77777777" w:rsidR="006F3400" w:rsidRDefault="006F3400" w:rsidP="00085CB1"/>
          <w:p w14:paraId="441C7506" w14:textId="1259D660" w:rsidR="00BE1EBD" w:rsidRDefault="006F3400" w:rsidP="00085CB1">
            <w:r w:rsidRPr="00F248A0">
              <w:lastRenderedPageBreak/>
              <w:t>Papildus labojumi minētajā pantā netiks veikti</w:t>
            </w:r>
            <w:r w:rsidR="00F248A0" w:rsidRPr="00F248A0">
              <w:t xml:space="preserve">, tai skaitā par to, ka apdrošināšanas līguma sastāvdaļai ir jābūt arī pieteikuma informācijai. Norādām, ka </w:t>
            </w:r>
            <w:r w:rsidR="00F248A0">
              <w:t xml:space="preserve">pieteikuma informācija cits dokuments, kas nav līgumu veidojošs, bet gan satur informāciju pirms līguma noslēgšanas. Atbilstoši ALL 1.panta pirmās daļas 10.punktam </w:t>
            </w:r>
            <w:r w:rsidR="00F248A0" w:rsidRPr="00F248A0">
              <w:t>apdrošināšanas pieteikums </w:t>
            </w:r>
            <w:r w:rsidR="00F248A0">
              <w:t>ir</w:t>
            </w:r>
            <w:r w:rsidR="00F248A0" w:rsidRPr="00F248A0">
              <w:t xml:space="preserve"> dokuments vai jebkura cita informācija, kuru apdrošinājuma ņēmējs iesniedz apdrošinātājam, lai informētu to par apdrošināšanas objektu, faktiem un apstākļiem, kas nepieciešami apdrošinātā riska novērtēšanai</w:t>
            </w:r>
            <w:r w:rsidR="00F248A0">
              <w:t>.</w:t>
            </w:r>
          </w:p>
          <w:p w14:paraId="7334304A" w14:textId="77777777" w:rsidR="006F3400" w:rsidRDefault="006F3400" w:rsidP="00085CB1"/>
          <w:p w14:paraId="64BA8870" w14:textId="430AA6EF" w:rsidR="006F3400" w:rsidRDefault="006F3400" w:rsidP="00085CB1">
            <w:r>
              <w:t xml:space="preserve">Attiecībā uz “visu risku” polisēm, norādām, ka šāds formulējums nevar tikt uzskatīts par korektu. Patērētāju tiesību aizsardzības centrs arī ir norādījis, ka šāds formulējums maldina patērētājus (apdrošinājuma ņēmējus), ņemot vērā, ka, izlasot vārdus “visi riski” </w:t>
            </w:r>
            <w:r>
              <w:lastRenderedPageBreak/>
              <w:t xml:space="preserve">ar to tiek saprasts burtiski visi iespējamie riski, kas ne pēc vienas apdrošināšanas līguma polises tiks segti. Attiecīgi ir jāizvairās no šāda formulējuma lietošanas, nosakot atsevišķus izņēmumus. </w:t>
            </w:r>
          </w:p>
        </w:tc>
      </w:tr>
      <w:tr w:rsidR="007B0500" w14:paraId="659AE65A" w14:textId="77777777">
        <w:tc>
          <w:tcPr>
            <w:tcW w:w="750" w:type="dxa"/>
            <w:shd w:val="clear" w:color="auto" w:fill="FFFFFF"/>
            <w:noWrap/>
            <w:tcMar>
              <w:top w:w="75" w:type="dxa"/>
              <w:left w:w="75" w:type="dxa"/>
              <w:bottom w:w="75" w:type="dxa"/>
              <w:right w:w="75" w:type="dxa"/>
            </w:tcMar>
            <w:vAlign w:val="center"/>
          </w:tcPr>
          <w:p w14:paraId="22A20E20" w14:textId="77777777" w:rsidR="007B0500" w:rsidRDefault="00000000">
            <w:pPr>
              <w:jc w:val="center"/>
            </w:pPr>
            <w:r>
              <w:lastRenderedPageBreak/>
              <w:t>3.</w:t>
            </w:r>
          </w:p>
        </w:tc>
        <w:tc>
          <w:tcPr>
            <w:tcW w:w="4055" w:type="dxa"/>
            <w:shd w:val="clear" w:color="auto" w:fill="FFFFFF"/>
            <w:noWrap/>
            <w:tcMar>
              <w:top w:w="75" w:type="dxa"/>
              <w:left w:w="75" w:type="dxa"/>
              <w:bottom w:w="75" w:type="dxa"/>
              <w:right w:w="75" w:type="dxa"/>
            </w:tcMar>
            <w:vAlign w:val="center"/>
          </w:tcPr>
          <w:p w14:paraId="3E04B851" w14:textId="77777777" w:rsidR="007B0500" w:rsidRDefault="00000000">
            <w:pPr>
              <w:jc w:val="left"/>
            </w:pPr>
            <w:r>
              <w:t>Latvijas Apdrošinātāju asociācija</w:t>
            </w:r>
          </w:p>
        </w:tc>
        <w:tc>
          <w:tcPr>
            <w:tcW w:w="4056" w:type="dxa"/>
            <w:shd w:val="clear" w:color="auto" w:fill="FFFFFF"/>
            <w:noWrap/>
            <w:tcMar>
              <w:top w:w="75" w:type="dxa"/>
              <w:left w:w="75" w:type="dxa"/>
              <w:bottom w:w="75" w:type="dxa"/>
              <w:right w:w="75" w:type="dxa"/>
            </w:tcMar>
            <w:vAlign w:val="center"/>
          </w:tcPr>
          <w:p w14:paraId="561FDB55" w14:textId="77777777" w:rsidR="007B0500" w:rsidRDefault="00000000">
            <w:pPr>
              <w:jc w:val="left"/>
            </w:pPr>
            <w:r>
              <w:t xml:space="preserve">2024.gada novembrī notika LAA un Latvijas Bankas (LB) sarakste par nepieciešamību jaunajam regulējumam noteikt pārejas periodu. Savā vēstulē LAA LB pilnībā piekrīt, ka šo plānoto prasību piemērošanai būtu nepieciešams noteikt pārejas periodu, turklāt ir pamatoti, ka </w:t>
            </w:r>
            <w:r>
              <w:rPr>
                <w:u w:val="single"/>
              </w:rPr>
              <w:t>grozījumos noteiktās prasības nepiemēro apdrošināšanas līgumiem, kas noslēgti laikā līdz grozījumu spēkā stāšanās dienai.</w:t>
            </w:r>
            <w:r>
              <w:br/>
              <w:t>Vienlaikus LB norāda parējas periodus, kas LB ieskatā ir pamatoti un samērīgi, un tie ir </w:t>
            </w:r>
            <w:r>
              <w:br/>
              <w:t xml:space="preserve">• īpašuma apdrošināšanas, palīdzības apdrošināšanas, </w:t>
            </w:r>
            <w:r>
              <w:lastRenderedPageBreak/>
              <w:t>sauszemes transporta apdrošināšanas un nelaimes gadījumu apdrošināšanas līgumiem varētu noteikt īsāku pārejas periodu, piemēram,</w:t>
            </w:r>
            <w:r>
              <w:rPr>
                <w:b/>
              </w:rPr>
              <w:t xml:space="preserve"> divus gadus</w:t>
            </w:r>
            <w:r>
              <w:t xml:space="preserve"> (atbilstoši Apdrošināšanas un pārapdrošināšanas likuma 19. panta pirmās daļas 1., 3., 8., 9. un 18. punktam);</w:t>
            </w:r>
            <w:r>
              <w:br/>
              <w:t xml:space="preserve">• pārējiem apdrošināšanas līgumiem varētu noteikt garāku pārejas periodu, piemēram, </w:t>
            </w:r>
            <w:r>
              <w:rPr>
                <w:b/>
              </w:rPr>
              <w:t xml:space="preserve">četrus gadus </w:t>
            </w:r>
            <w:r>
              <w:t>(atbilstoši Apdrošināšanas un pārapdrošināšanas likuma 19. panta pirmajai un otrajai daļai, izņemot pirmās daļas 1., 3., 8., 9. un 18. punktu).</w:t>
            </w:r>
            <w:r>
              <w:br/>
              <w:t xml:space="preserve">Attiecībā uz  pārejas periodu ALL plānotajiem grozījumiem 19. pantā, kas paredz apdrošināšanas polisē norādīt visus apdrošināšanas līguma noteikumos ietvertos apdrošināmos riskus, atzīmējot apdrošinātos riskus un neapdrošinātos riskus, LB piekrīt, ka būtu nosakāms </w:t>
            </w:r>
            <w:r>
              <w:rPr>
                <w:b/>
              </w:rPr>
              <w:t xml:space="preserve">viena gada pārejas periodu no grozījumu </w:t>
            </w:r>
            <w:r>
              <w:rPr>
                <w:b/>
              </w:rPr>
              <w:lastRenderedPageBreak/>
              <w:t>spēkā stāšanās dienas</w:t>
            </w:r>
            <w:r>
              <w:t>.</w:t>
            </w:r>
            <w:r>
              <w:br/>
              <w:t>Ievērojot minēto, kā arī to, ka sarakstē Ekonomijas ministrija un Finanšu ministrija tika pievienoti kā adresāti, LAA lūdz noteikumu projektā iekļaut LB kā uzrauga noteiktos samērīgos pārejas periodus.</w:t>
            </w:r>
            <w:r>
              <w:br/>
            </w:r>
          </w:p>
        </w:tc>
        <w:tc>
          <w:tcPr>
            <w:tcW w:w="1650" w:type="dxa"/>
            <w:shd w:val="clear" w:color="auto" w:fill="FFFFFF"/>
            <w:noWrap/>
            <w:tcMar>
              <w:top w:w="75" w:type="dxa"/>
              <w:left w:w="75" w:type="dxa"/>
              <w:bottom w:w="75" w:type="dxa"/>
              <w:right w:w="75" w:type="dxa"/>
            </w:tcMar>
            <w:vAlign w:val="center"/>
          </w:tcPr>
          <w:p w14:paraId="1F2E38E7" w14:textId="77777777" w:rsidR="007B0500" w:rsidRDefault="007B0500">
            <w:pPr>
              <w:jc w:val="left"/>
            </w:pPr>
          </w:p>
        </w:tc>
        <w:tc>
          <w:tcPr>
            <w:tcW w:w="4056" w:type="dxa"/>
            <w:shd w:val="clear" w:color="auto" w:fill="FFFFFF"/>
            <w:noWrap/>
            <w:tcMar>
              <w:top w:w="75" w:type="dxa"/>
              <w:left w:w="75" w:type="dxa"/>
              <w:bottom w:w="75" w:type="dxa"/>
              <w:right w:w="75" w:type="dxa"/>
            </w:tcMar>
            <w:vAlign w:val="center"/>
          </w:tcPr>
          <w:p w14:paraId="4B49B468" w14:textId="1F5145D6" w:rsidR="007B0500" w:rsidRDefault="00C42DA6" w:rsidP="0085340C">
            <w:r>
              <w:t xml:space="preserve">Ekonomikas ministrija norāda, ka likumprojektā tiks saglabāti sākotnēji piedāvātie pārejas periodi. Ja likumprojektā turpmākajās izskatīšanas stadijās LR Saeimā deputātiem radīsies idejas par citu pārejas periodu noteikšanas nepieciešamību, diskusiju rezultātā par izmaiņām būs iespējams vienoties. </w:t>
            </w:r>
          </w:p>
        </w:tc>
      </w:tr>
    </w:tbl>
    <w:p w14:paraId="0283EC1B" w14:textId="77777777" w:rsidR="007B0500" w:rsidRDefault="007B0500"/>
    <w:tbl>
      <w:tblPr>
        <w:tblStyle w:val="a"/>
        <w:tblW w:w="14567" w:type="dxa"/>
        <w:tblLayout w:type="fixed"/>
        <w:tblLook w:val="0600" w:firstRow="0" w:lastRow="0" w:firstColumn="0" w:lastColumn="0" w:noHBand="1" w:noVBand="1"/>
      </w:tblPr>
      <w:tblGrid>
        <w:gridCol w:w="4855"/>
        <w:gridCol w:w="4856"/>
        <w:gridCol w:w="4856"/>
      </w:tblGrid>
      <w:tr w:rsidR="007B0500" w14:paraId="0D7C721D" w14:textId="77777777">
        <w:tc>
          <w:tcPr>
            <w:tcW w:w="4855" w:type="dxa"/>
            <w:shd w:val="clear" w:color="auto" w:fill="FFFFFF"/>
            <w:noWrap/>
            <w:tcMar>
              <w:top w:w="75" w:type="dxa"/>
              <w:left w:w="75" w:type="dxa"/>
              <w:bottom w:w="75" w:type="dxa"/>
              <w:right w:w="75" w:type="dxa"/>
            </w:tcMar>
            <w:vAlign w:val="center"/>
          </w:tcPr>
          <w:p w14:paraId="1A058062" w14:textId="77777777" w:rsidR="007B0500"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601AE866" w14:textId="75DBD427" w:rsidR="007B0500" w:rsidRDefault="0085340C">
            <w:pPr>
              <w:pBdr>
                <w:bottom w:val="single" w:sz="10" w:space="1" w:color="000000"/>
              </w:pBdr>
            </w:pPr>
            <w:r>
              <w:t>14.04.2025.</w:t>
            </w:r>
          </w:p>
        </w:tc>
        <w:tc>
          <w:tcPr>
            <w:tcW w:w="4856" w:type="dxa"/>
            <w:shd w:val="clear" w:color="auto" w:fill="FFFFFF"/>
            <w:noWrap/>
            <w:tcMar>
              <w:top w:w="75" w:type="dxa"/>
              <w:left w:w="75" w:type="dxa"/>
              <w:bottom w:w="75" w:type="dxa"/>
              <w:right w:w="75" w:type="dxa"/>
            </w:tcMar>
            <w:vAlign w:val="center"/>
          </w:tcPr>
          <w:p w14:paraId="035275C3" w14:textId="77777777" w:rsidR="007B0500" w:rsidRDefault="007B0500"/>
        </w:tc>
      </w:tr>
      <w:tr w:rsidR="007B0500" w14:paraId="042BF8F4" w14:textId="77777777">
        <w:tc>
          <w:tcPr>
            <w:tcW w:w="4855" w:type="dxa"/>
            <w:shd w:val="clear" w:color="auto" w:fill="FFFFFF"/>
            <w:noWrap/>
            <w:tcMar>
              <w:top w:w="75" w:type="dxa"/>
              <w:left w:w="75" w:type="dxa"/>
              <w:bottom w:w="75" w:type="dxa"/>
              <w:right w:w="75" w:type="dxa"/>
            </w:tcMar>
            <w:vAlign w:val="center"/>
          </w:tcPr>
          <w:p w14:paraId="7A3285D2" w14:textId="77777777" w:rsidR="007B0500" w:rsidRDefault="007B0500"/>
        </w:tc>
        <w:tc>
          <w:tcPr>
            <w:tcW w:w="4856" w:type="dxa"/>
            <w:shd w:val="clear" w:color="auto" w:fill="FFFFFF"/>
            <w:noWrap/>
            <w:tcMar>
              <w:top w:w="75" w:type="dxa"/>
              <w:left w:w="75" w:type="dxa"/>
              <w:bottom w:w="75" w:type="dxa"/>
              <w:right w:w="75" w:type="dxa"/>
            </w:tcMar>
            <w:vAlign w:val="center"/>
          </w:tcPr>
          <w:p w14:paraId="7F44BE79" w14:textId="77777777" w:rsidR="007B0500" w:rsidRDefault="00000000">
            <w:pPr>
              <w:jc w:val="center"/>
            </w:pPr>
            <w:r>
              <w:t>(dd.mm.gggg)</w:t>
            </w:r>
          </w:p>
        </w:tc>
        <w:tc>
          <w:tcPr>
            <w:tcW w:w="4856" w:type="dxa"/>
            <w:shd w:val="clear" w:color="auto" w:fill="FFFFFF"/>
            <w:noWrap/>
            <w:tcMar>
              <w:top w:w="75" w:type="dxa"/>
              <w:left w:w="75" w:type="dxa"/>
              <w:bottom w:w="75" w:type="dxa"/>
              <w:right w:w="75" w:type="dxa"/>
            </w:tcMar>
            <w:vAlign w:val="center"/>
          </w:tcPr>
          <w:p w14:paraId="0B4C2B76" w14:textId="77777777" w:rsidR="007B0500" w:rsidRDefault="007B0500"/>
        </w:tc>
      </w:tr>
      <w:tr w:rsidR="007B0500" w14:paraId="6D6D9636" w14:textId="77777777">
        <w:tc>
          <w:tcPr>
            <w:tcW w:w="4855" w:type="dxa"/>
            <w:shd w:val="clear" w:color="auto" w:fill="FFFFFF"/>
            <w:noWrap/>
            <w:tcMar>
              <w:top w:w="75" w:type="dxa"/>
              <w:left w:w="75" w:type="dxa"/>
              <w:bottom w:w="75" w:type="dxa"/>
              <w:right w:w="75" w:type="dxa"/>
            </w:tcMar>
            <w:vAlign w:val="center"/>
          </w:tcPr>
          <w:p w14:paraId="25FA6D21" w14:textId="77777777" w:rsidR="007B0500"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13393F37" w14:textId="1615F8B6" w:rsidR="007B0500" w:rsidRDefault="0085340C">
            <w:pPr>
              <w:pBdr>
                <w:bottom w:val="single" w:sz="10" w:space="1" w:color="000000"/>
              </w:pBdr>
            </w:pPr>
            <w:r>
              <w:t>Santa Buša</w:t>
            </w:r>
          </w:p>
        </w:tc>
        <w:tc>
          <w:tcPr>
            <w:tcW w:w="4856" w:type="dxa"/>
            <w:shd w:val="clear" w:color="auto" w:fill="FFFFFF"/>
            <w:noWrap/>
            <w:tcMar>
              <w:top w:w="75" w:type="dxa"/>
              <w:left w:w="75" w:type="dxa"/>
              <w:bottom w:w="75" w:type="dxa"/>
              <w:right w:w="75" w:type="dxa"/>
            </w:tcMar>
            <w:vAlign w:val="center"/>
          </w:tcPr>
          <w:p w14:paraId="163AEB9D" w14:textId="77777777" w:rsidR="007B0500" w:rsidRDefault="007B0500"/>
        </w:tc>
      </w:tr>
      <w:tr w:rsidR="007B0500" w14:paraId="025A2732" w14:textId="77777777">
        <w:tc>
          <w:tcPr>
            <w:tcW w:w="4855" w:type="dxa"/>
            <w:shd w:val="clear" w:color="auto" w:fill="FFFFFF"/>
            <w:noWrap/>
            <w:tcMar>
              <w:top w:w="75" w:type="dxa"/>
              <w:left w:w="75" w:type="dxa"/>
              <w:bottom w:w="75" w:type="dxa"/>
              <w:right w:w="75" w:type="dxa"/>
            </w:tcMar>
            <w:vAlign w:val="center"/>
          </w:tcPr>
          <w:p w14:paraId="20288DF4" w14:textId="77777777" w:rsidR="007B0500" w:rsidRDefault="007B0500"/>
        </w:tc>
        <w:tc>
          <w:tcPr>
            <w:tcW w:w="4856" w:type="dxa"/>
            <w:shd w:val="clear" w:color="auto" w:fill="FFFFFF"/>
            <w:noWrap/>
            <w:tcMar>
              <w:top w:w="75" w:type="dxa"/>
              <w:left w:w="75" w:type="dxa"/>
              <w:bottom w:w="75" w:type="dxa"/>
              <w:right w:w="75" w:type="dxa"/>
            </w:tcMar>
            <w:vAlign w:val="center"/>
          </w:tcPr>
          <w:p w14:paraId="4EDA98B0" w14:textId="77777777" w:rsidR="007B0500"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332089FB" w14:textId="77777777" w:rsidR="007B0500" w:rsidRDefault="007B0500"/>
        </w:tc>
      </w:tr>
    </w:tbl>
    <w:p w14:paraId="579E67CE" w14:textId="77777777" w:rsidR="007B0500" w:rsidRDefault="007B0500"/>
    <w:p w14:paraId="73011DFB" w14:textId="77777777" w:rsidR="007B0500" w:rsidRDefault="00000000">
      <w:r>
        <w:t>Piezīmes.</w:t>
      </w:r>
    </w:p>
    <w:p w14:paraId="0CE8165B" w14:textId="77777777" w:rsidR="007B0500" w:rsidRDefault="00000000">
      <w:r>
        <w:t>* Iesniedzējs (fiziskai personai – vārds, uzvārds, juridiskai personai – nosaukums) var tikt publiskots, ja viņš tam ir piekritis. Ja attiecināms, iesniedzējs norāda interešu pārstāvja reģistrācijas numuru.</w:t>
      </w:r>
    </w:p>
    <w:p w14:paraId="3EAE5163" w14:textId="77777777" w:rsidR="007B0500" w:rsidRDefault="00000000">
      <w:r>
        <w:t>** Dokumenta rekvizītus "datums" un "paraksts" neaizpilda, ja elektroniskais dokuments ir sagatavots atbilstoši normatīvajiem aktiem par elektronisko dokumentu noformēšanu.</w:t>
      </w:r>
    </w:p>
    <w:sectPr w:rsidR="007B0500">
      <w:headerReference w:type="default" r:id="rId12"/>
      <w:footerReference w:type="default" r:id="rId13"/>
      <w:headerReference w:type="first" r:id="rId14"/>
      <w:footerReference w:type="first" r:id="rId15"/>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98213" w14:textId="77777777" w:rsidR="005B44A4" w:rsidRDefault="005B44A4">
      <w:r>
        <w:separator/>
      </w:r>
    </w:p>
  </w:endnote>
  <w:endnote w:type="continuationSeparator" w:id="0">
    <w:p w14:paraId="7D819F31" w14:textId="77777777" w:rsidR="005B44A4" w:rsidRDefault="005B4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841B2" w14:textId="77777777" w:rsidR="007B0500" w:rsidRDefault="00000000">
    <w:pPr>
      <w:jc w:val="right"/>
    </w:pPr>
    <w:r>
      <w:rPr>
        <w:sz w:val="24"/>
        <w:szCs w:val="24"/>
      </w:rPr>
      <w:fldChar w:fldCharType="begin"/>
    </w:r>
    <w:r>
      <w:rPr>
        <w:sz w:val="24"/>
        <w:szCs w:val="24"/>
      </w:rPr>
      <w:instrText>PAGE</w:instrText>
    </w:r>
    <w:r>
      <w:rPr>
        <w:sz w:val="24"/>
        <w:szCs w:val="24"/>
      </w:rPr>
      <w:fldChar w:fldCharType="separate"/>
    </w:r>
    <w:r w:rsidR="00BD67A4">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65AC" w14:textId="77777777" w:rsidR="00A56755"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ABAA3" w14:textId="77777777" w:rsidR="005B44A4" w:rsidRDefault="005B44A4">
      <w:r>
        <w:separator/>
      </w:r>
    </w:p>
  </w:footnote>
  <w:footnote w:type="continuationSeparator" w:id="0">
    <w:p w14:paraId="1B7F7113" w14:textId="77777777" w:rsidR="005B44A4" w:rsidRDefault="005B4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D67C5" w14:textId="77777777" w:rsidR="007B0500" w:rsidRDefault="00000000">
    <w:pPr>
      <w:pStyle w:val="Header"/>
      <w:contextualSpacing w:val="0"/>
    </w:pPr>
    <w:r>
      <w:t>Viedokļu pārskats 24-TA-2689</w:t>
    </w:r>
    <w:r>
      <w:br/>
      <w:t>Izdrukāts 31.03.2025. 11.35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3BCD" w14:textId="77777777" w:rsidR="007B0500" w:rsidRDefault="00000000">
    <w:pPr>
      <w:pStyle w:val="Header"/>
      <w:contextualSpacing w:val="0"/>
    </w:pPr>
    <w:r>
      <w:t>Viedokļu pārskats 24-TA-2689</w:t>
    </w:r>
    <w:r>
      <w:br/>
      <w:t>Izdrukāts 31.03.2025. 11.35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00"/>
    <w:rsid w:val="00067393"/>
    <w:rsid w:val="00085CB1"/>
    <w:rsid w:val="000D7A14"/>
    <w:rsid w:val="000F2717"/>
    <w:rsid w:val="00235162"/>
    <w:rsid w:val="002543E7"/>
    <w:rsid w:val="002F2EAC"/>
    <w:rsid w:val="002F6F58"/>
    <w:rsid w:val="00440F10"/>
    <w:rsid w:val="004B02F3"/>
    <w:rsid w:val="00526D58"/>
    <w:rsid w:val="00574300"/>
    <w:rsid w:val="005B44A4"/>
    <w:rsid w:val="005C6A66"/>
    <w:rsid w:val="005F7775"/>
    <w:rsid w:val="00630643"/>
    <w:rsid w:val="00694776"/>
    <w:rsid w:val="006B4BE4"/>
    <w:rsid w:val="006F3400"/>
    <w:rsid w:val="007B0500"/>
    <w:rsid w:val="0085340C"/>
    <w:rsid w:val="009100B0"/>
    <w:rsid w:val="00983DD2"/>
    <w:rsid w:val="00A56755"/>
    <w:rsid w:val="00A6798F"/>
    <w:rsid w:val="00B12937"/>
    <w:rsid w:val="00BD67A4"/>
    <w:rsid w:val="00BE1EBD"/>
    <w:rsid w:val="00C42DA6"/>
    <w:rsid w:val="00DD1CCB"/>
    <w:rsid w:val="00E065CB"/>
    <w:rsid w:val="00EB3F2D"/>
    <w:rsid w:val="00F248A0"/>
    <w:rsid w:val="00F87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1ABB3"/>
  <w15:docId w15:val="{849950CE-94CC-45A0-A877-391DA1CEA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235162"/>
    <w:rPr>
      <w:sz w:val="16"/>
      <w:szCs w:val="16"/>
    </w:rPr>
  </w:style>
  <w:style w:type="paragraph" w:styleId="CommentText">
    <w:name w:val="annotation text"/>
    <w:basedOn w:val="Normal"/>
    <w:link w:val="CommentTextChar"/>
    <w:uiPriority w:val="99"/>
    <w:unhideWhenUsed/>
    <w:rsid w:val="00235162"/>
    <w:rPr>
      <w:sz w:val="20"/>
    </w:rPr>
  </w:style>
  <w:style w:type="character" w:customStyle="1" w:styleId="CommentTextChar">
    <w:name w:val="Comment Text Char"/>
    <w:basedOn w:val="DefaultParagraphFont"/>
    <w:link w:val="CommentText"/>
    <w:uiPriority w:val="99"/>
    <w:rsid w:val="00235162"/>
    <w:rPr>
      <w:sz w:val="20"/>
    </w:rPr>
  </w:style>
  <w:style w:type="paragraph" w:styleId="CommentSubject">
    <w:name w:val="annotation subject"/>
    <w:basedOn w:val="CommentText"/>
    <w:next w:val="CommentText"/>
    <w:link w:val="CommentSubjectChar"/>
    <w:uiPriority w:val="99"/>
    <w:semiHidden/>
    <w:unhideWhenUsed/>
    <w:rsid w:val="00235162"/>
    <w:rPr>
      <w:b/>
      <w:bCs/>
    </w:rPr>
  </w:style>
  <w:style w:type="character" w:customStyle="1" w:styleId="CommentSubjectChar">
    <w:name w:val="Comment Subject Char"/>
    <w:basedOn w:val="CommentTextChar"/>
    <w:link w:val="CommentSubject"/>
    <w:uiPriority w:val="99"/>
    <w:semiHidden/>
    <w:rsid w:val="00235162"/>
    <w:rPr>
      <w:b/>
      <w:bCs/>
      <w:sz w:val="20"/>
    </w:rPr>
  </w:style>
  <w:style w:type="character" w:styleId="Hyperlink">
    <w:name w:val="Hyperlink"/>
    <w:basedOn w:val="DefaultParagraphFont"/>
    <w:uiPriority w:val="99"/>
    <w:unhideWhenUsed/>
    <w:rsid w:val="00085CB1"/>
    <w:rPr>
      <w:color w:val="467886" w:themeColor="hyperlink"/>
      <w:u w:val="single"/>
    </w:rPr>
  </w:style>
  <w:style w:type="character" w:styleId="UnresolvedMention">
    <w:name w:val="Unresolved Mention"/>
    <w:basedOn w:val="DefaultParagraphFont"/>
    <w:uiPriority w:val="99"/>
    <w:semiHidden/>
    <w:unhideWhenUsed/>
    <w:rsid w:val="00085C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kumi.lv/ta/id/26984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69847"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269847"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ikumi.lv/ta/id/269847" TargetMode="External"/><Relationship Id="rId4" Type="http://schemas.openxmlformats.org/officeDocument/2006/relationships/webSettings" Target="webSettings.xml"/><Relationship Id="rId9" Type="http://schemas.openxmlformats.org/officeDocument/2006/relationships/hyperlink" Target="https://likumi.lv/ta/id/269847"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BFB54-3587-4A48-B6C8-DE2E5090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7813</Words>
  <Characters>4454</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viedoklu_parskats_24-TA-2689.docx</vt:lpstr>
    </vt:vector>
  </TitlesOfParts>
  <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viedoklu_parskats_24-TA-2689.docx</dc:title>
  <dc:creator>Skārleta Dombrovska-Latišenko</dc:creator>
  <cp:lastModifiedBy>Skārleta Dombrovska-Latišenko</cp:lastModifiedBy>
  <cp:revision>2</cp:revision>
  <dcterms:created xsi:type="dcterms:W3CDTF">2025-04-14T08:07:00Z</dcterms:created>
  <dcterms:modified xsi:type="dcterms:W3CDTF">2025-04-14T08:07:00Z</dcterms:modified>
</cp:coreProperties>
</file>