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71DCAF" w14:textId="39F4E727" w:rsidR="00DB0BFF" w:rsidRDefault="00000000">
      <w:pPr>
        <w:spacing w:after="240"/>
        <w:jc w:val="center"/>
        <w:rPr>
          <w:b/>
        </w:rPr>
      </w:pPr>
      <w:r>
        <w:rPr>
          <w:b/>
        </w:rPr>
        <w:t>“Publiskās apspriešanas laikā 16.11.2024. - 15.12.2024. saņemto viedokļu, priekšlikumu un iebildumu apkopojums par Eiropas Savienības Kohēzijas politikas programmas 2021</w:t>
      </w:r>
      <w:r w:rsidR="00AB5B16">
        <w:rPr>
          <w:b/>
        </w:rPr>
        <w:t>.-</w:t>
      </w:r>
      <w:r>
        <w:rPr>
          <w:b/>
        </w:rPr>
        <w:t>2027.</w:t>
      </w:r>
      <w:r w:rsidR="00AB5B16">
        <w:rPr>
          <w:b/>
        </w:rPr>
        <w:t xml:space="preserve"> </w:t>
      </w:r>
      <w:r>
        <w:rPr>
          <w:b/>
        </w:rPr>
        <w:t xml:space="preserve">gadam 4.2.4.specifiskā atbalsta mērķa </w:t>
      </w:r>
      <w:r w:rsidR="00AB5B16">
        <w:rPr>
          <w:b/>
        </w:rPr>
        <w:t>”</w:t>
      </w:r>
      <w:r>
        <w:rPr>
          <w:b/>
        </w:rPr>
        <w:t>Veicināt mūžizglītību, jo īpaši paredzot elastīgas kvalifikācijas paaugstināšanas un pārkvalificēšanās iespējas visiem, ņemot vērā digitālās prasmes, labāk paredzot pārmaiņas un jaunas prasības pēc prasmēm, kas balstītas</w:t>
      </w:r>
      <w:r w:rsidR="00AB5B16">
        <w:rPr>
          <w:b/>
        </w:rPr>
        <w:t xml:space="preserve"> </w:t>
      </w:r>
      <w:r>
        <w:rPr>
          <w:b/>
        </w:rPr>
        <w:t>uz darba tirgus vajadzībām, atvieglojot karjeras maiņu un sekmējot profesionālo mobilitāt</w:t>
      </w:r>
      <w:r w:rsidR="00AB5B16">
        <w:rPr>
          <w:b/>
        </w:rPr>
        <w:t>”</w:t>
      </w:r>
      <w:r>
        <w:rPr>
          <w:b/>
        </w:rPr>
        <w:t xml:space="preserve"> 4.2.4.1. pasākuma </w:t>
      </w:r>
      <w:r w:rsidR="00AB5B16">
        <w:rPr>
          <w:b/>
        </w:rPr>
        <w:t>“</w:t>
      </w:r>
      <w:r>
        <w:rPr>
          <w:b/>
        </w:rPr>
        <w:t>Atbalsts nozaru</w:t>
      </w:r>
      <w:r w:rsidR="00AB5B16">
        <w:rPr>
          <w:b/>
        </w:rPr>
        <w:t xml:space="preserve"> </w:t>
      </w:r>
      <w:r>
        <w:rPr>
          <w:b/>
        </w:rPr>
        <w:t>vajadzībās balstītai pieaugušo izglītībai</w:t>
      </w:r>
      <w:r w:rsidR="00AB5B16">
        <w:rPr>
          <w:b/>
        </w:rPr>
        <w:t xml:space="preserve">” </w:t>
      </w:r>
      <w:r>
        <w:rPr>
          <w:b/>
        </w:rPr>
        <w:t>otrās kārtas īstenošanas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B0BFF" w14:paraId="57068B70" w14:textId="77777777">
        <w:tc>
          <w:tcPr>
            <w:tcW w:w="750" w:type="dxa"/>
            <w:shd w:val="clear" w:color="auto" w:fill="FFFFFF"/>
            <w:noWrap/>
            <w:tcMar>
              <w:top w:w="75" w:type="dxa"/>
              <w:left w:w="75" w:type="dxa"/>
              <w:bottom w:w="75" w:type="dxa"/>
              <w:right w:w="75" w:type="dxa"/>
            </w:tcMar>
            <w:vAlign w:val="center"/>
          </w:tcPr>
          <w:p w14:paraId="4C2BEF27" w14:textId="77777777" w:rsidR="00DB0BFF"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4C82933E" w14:textId="77777777" w:rsidR="00DB0BFF"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85796D4" w14:textId="77777777" w:rsidR="00DB0BFF"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3420CAB" w14:textId="77777777" w:rsidR="00DB0BFF"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7ECEB29" w14:textId="77777777" w:rsidR="00DB0BFF" w:rsidRDefault="00000000">
            <w:pPr>
              <w:jc w:val="center"/>
            </w:pPr>
            <w:r>
              <w:rPr>
                <w:b/>
              </w:rPr>
              <w:t>Skaidrojums, kādā veidā viedoklis / priekšlikums / iebildums ir ņemts vērā vai ņemts vērā daļēji, vai pamatojums, ja viedoklis / priekšlikums / iebildums nav ņemts vērā</w:t>
            </w:r>
          </w:p>
        </w:tc>
      </w:tr>
      <w:tr w:rsidR="00DB0BFF" w14:paraId="6A1F10BA" w14:textId="77777777">
        <w:tc>
          <w:tcPr>
            <w:tcW w:w="750" w:type="dxa"/>
            <w:shd w:val="clear" w:color="auto" w:fill="FFFFFF"/>
            <w:noWrap/>
            <w:tcMar>
              <w:top w:w="75" w:type="dxa"/>
              <w:left w:w="75" w:type="dxa"/>
              <w:bottom w:w="75" w:type="dxa"/>
              <w:right w:w="75" w:type="dxa"/>
            </w:tcMar>
            <w:vAlign w:val="center"/>
          </w:tcPr>
          <w:p w14:paraId="31203828" w14:textId="77777777" w:rsidR="00DB0BFF" w:rsidRDefault="00000000">
            <w:pPr>
              <w:jc w:val="center"/>
            </w:pPr>
            <w:r>
              <w:t>1.</w:t>
            </w:r>
          </w:p>
        </w:tc>
        <w:tc>
          <w:tcPr>
            <w:tcW w:w="4055" w:type="dxa"/>
            <w:shd w:val="clear" w:color="auto" w:fill="FFFFFF"/>
            <w:noWrap/>
            <w:tcMar>
              <w:top w:w="75" w:type="dxa"/>
              <w:left w:w="75" w:type="dxa"/>
              <w:bottom w:w="75" w:type="dxa"/>
              <w:right w:w="75" w:type="dxa"/>
            </w:tcMar>
            <w:vAlign w:val="center"/>
          </w:tcPr>
          <w:p w14:paraId="3C1722A9" w14:textId="77777777" w:rsidR="00DB0BFF" w:rsidRDefault="00000000">
            <w:pPr>
              <w:jc w:val="left"/>
            </w:pPr>
            <w:r>
              <w:t>Latvijas Pilsoniskā alianse</w:t>
            </w:r>
          </w:p>
        </w:tc>
        <w:tc>
          <w:tcPr>
            <w:tcW w:w="4056" w:type="dxa"/>
            <w:shd w:val="clear" w:color="auto" w:fill="FFFFFF"/>
            <w:noWrap/>
            <w:tcMar>
              <w:top w:w="75" w:type="dxa"/>
              <w:left w:w="75" w:type="dxa"/>
              <w:bottom w:w="75" w:type="dxa"/>
              <w:right w:w="75" w:type="dxa"/>
            </w:tcMar>
            <w:vAlign w:val="center"/>
          </w:tcPr>
          <w:p w14:paraId="5E9975D9" w14:textId="77777777" w:rsidR="00DB0BFF" w:rsidRDefault="00000000">
            <w:pPr>
              <w:jc w:val="left"/>
            </w:pPr>
            <w:r>
              <w:t xml:space="preserve">Biedrība “Latvijas Pilsoniskā alianse” (turpmāk – LPA) ir iepazinusies ar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w:t>
            </w:r>
            <w:r>
              <w:lastRenderedPageBreak/>
              <w:t xml:space="preserve">balstītas uz darba tirgus vajadzībām, atvieglojot karjeras maiņu un sekmējot profesionālo mobilitāti" </w:t>
            </w:r>
            <w:r>
              <w:rPr>
                <w:b/>
              </w:rPr>
              <w:t>4.2.4.1. pasākuma "Atbalsts nozaru vajadzībās balstītai pieaugušo izglītībai" otrās kārtas īstenošanas noteikumiem (turpmāk – Noteikumu projekts) un sniedz atzinumu.</w:t>
            </w:r>
            <w:r>
              <w:br/>
            </w:r>
            <w:r>
              <w:br/>
              <w:t>LPA aicina pilnveidot ES Kohēzijas politikas programmas 2021.-2027. gadam 4.2.4.1. pasākuma "Atbalsts nozaru vajadzībās balstītai pieaugušo izglītībai" otrās kārtas īstenošanas noteikumus, lai pēc būtības tie būtu iekļaujoši visiem tautsaimniecības dalībniekiem un visām biedrībām un nodibinājumiem (turpmāk – BN) būtu iespēja pretendēt uz atbalstu nozaru vajadzībās balstītai pieaugušo izglītībai.</w:t>
            </w:r>
            <w:r>
              <w:br/>
            </w:r>
            <w:r>
              <w:br/>
              <w:t xml:space="preserve">Šobrīd Noteikumu projekta 4.2. punktā kā mērķa grupa definēta </w:t>
            </w:r>
            <w:r>
              <w:lastRenderedPageBreak/>
              <w:t>Latvijas Republikas Uzņēmumu reģistra biedrību un nodibinājumu reģistrā reģistrēta biedrība vai nodibinājums, kas pārstāv un īsteno darba ņēmēju vai darba devēju darba, ekonomiskās, sociālas un profesionālas tiesības un intereses. Taču LPA norāda, ka</w:t>
            </w:r>
            <w:r>
              <w:rPr>
                <w:b/>
              </w:rPr>
              <w:t xml:space="preserve"> pēc būtības visas BN, kurās tiek nodarbinātas personas, īsteno darba ņēmēju un darba devēju intereses.</w:t>
            </w:r>
            <w:r>
              <w:t xml:space="preserve"> Kā būtiskiem tautsaimniecības dalībniekiem visām BN ir jānodrošina piekļuve darba prasmju attīstības iespējām, lai veicinātu vienmērīgu izaugsmi un novērstu nevienlīdzību starp dažādiem tautsaimniecības sektoriem.</w:t>
            </w:r>
            <w:r>
              <w:br/>
            </w:r>
            <w:r>
              <w:br/>
              <w:t xml:space="preserve">BN veic būtisku ieguldījumu tautsaimniecības un cilvēkkapitāla attīstībā, nodarbinot mazaizsargāto personu grupas (piemēram, cilvēkus ar invaliditāti, seniorus, un citas mazaizsargātās personu grupas), tādejādi veicot nodokļu iemaksas </w:t>
            </w:r>
            <w:r>
              <w:lastRenderedPageBreak/>
              <w:t>budžetā un mazinot slogu uz sociālo pabalstu budžetu 2023. gadā BN kopumā tika nodarbināti 21,5 tūkstoši darba ņēmēju, kas nodarbināti 2659 dažādās BN.</w:t>
            </w:r>
            <w:r>
              <w:rPr>
                <w:vertAlign w:val="superscript"/>
              </w:rPr>
              <w:t>[1]</w:t>
            </w:r>
            <w:r>
              <w:t xml:space="preserve"> Ņemot vērā BN nozīmīgo lomu gan ekonomiskajā, gan sociālajā kontekstā, </w:t>
            </w:r>
            <w:r>
              <w:rPr>
                <w:b/>
              </w:rPr>
              <w:t>ir būtiski precizēt Noteikumu projektā lietoto definīciju, nosakot ka ikviena BN, neatkarīgi no darbības jomas, var gūt atbalstu darba spēku prasmju attīstībai un pielāgoties darba tirgus attīstības vajadzībām</w:t>
            </w:r>
            <w:r>
              <w:t>. Tādēļ aicinām:</w:t>
            </w:r>
            <w:r>
              <w:br/>
            </w:r>
            <w:r>
              <w:br/>
            </w:r>
            <w:r>
              <w:rPr>
                <w:b/>
              </w:rPr>
              <w:t>(1)</w:t>
            </w:r>
            <w:r>
              <w:t xml:space="preserve"> veikt </w:t>
            </w:r>
            <w:r>
              <w:rPr>
                <w:b/>
              </w:rPr>
              <w:t>grozījumus Noteikumu projekta 4.2. punktā un 15.2 punktā</w:t>
            </w:r>
            <w:r>
              <w:t>, izsakot tos šādā redakcijā: ”Latvijas Republikas Uzņēmumu reģistra biedrību un nodibinājumu reģistrā reģistrēta biedrība vai nodibinājums”.</w:t>
            </w:r>
            <w:r>
              <w:br/>
            </w:r>
            <w:r>
              <w:rPr>
                <w:b/>
              </w:rPr>
              <w:t>(2)</w:t>
            </w:r>
            <w:r>
              <w:t xml:space="preserve"> veikt </w:t>
            </w:r>
            <w:r>
              <w:rPr>
                <w:b/>
              </w:rPr>
              <w:t>grozījumus Noteikumu projekta 16. punktā</w:t>
            </w:r>
            <w:r>
              <w:t xml:space="preserve">, izsakot to šādā redakcijā: “Projektā kā sadarbības partneri pēc </w:t>
            </w:r>
            <w:r>
              <w:lastRenderedPageBreak/>
              <w:t>nepieciešamības var tikt iesaistītas arī citas Latvijas Republikas Uzņēmumu reģistra biedrību un nodibinājumu reģistrā reģistrētas biedrības vai nodibinājumi.”</w:t>
            </w:r>
            <w:r>
              <w:br/>
            </w:r>
            <w:r>
              <w:rPr>
                <w:b/>
              </w:rPr>
              <w:t>(3)</w:t>
            </w:r>
            <w:r>
              <w:t xml:space="preserve"> Ņemot vērā, ka biedrības un nodibinājumi ir bezpeļņas organizācijas un tām nav brīvu finanšu līdzekļu, aicinām </w:t>
            </w:r>
            <w:r>
              <w:rPr>
                <w:b/>
              </w:rPr>
              <w:t>veikt grozījumus Noteikuma projekta 2.8. punktā</w:t>
            </w:r>
            <w:r>
              <w:t>, nosakot izņēmumu, ka biedrībām un nodibinājumiem nav jāveic iemaksas prasmju fondā, lai saņemtu atbalstu nozaru vajadzībās balstītām mācībām darba ņēmēju kompetenču un prasmju palielināšanai.</w:t>
            </w:r>
            <w:r>
              <w:br/>
            </w:r>
            <w:r>
              <w:rPr>
                <w:b/>
              </w:rPr>
              <w:t>(4) </w:t>
            </w:r>
            <w:r>
              <w:t xml:space="preserve">Visbeidzot, lūdzam sniegt skaidrojumu, </w:t>
            </w:r>
            <w:r>
              <w:rPr>
                <w:b/>
              </w:rPr>
              <w:t>kādēļ Noteikuma projekta 23.2 punktā ir noteikta prasība, ka projekta iesniedzēja “kopējais attiecīgās nozares Latvijā reģistrēto biedru un to biedru apgrozījums pēdējā noslēgtajā pārskata gadā pārsniedz 300 miljonus euro”?</w:t>
            </w:r>
            <w:r>
              <w:t xml:space="preserve"> LPA ieskatā, noteiktais apgrozījuma apmērs nav </w:t>
            </w:r>
            <w:r>
              <w:lastRenderedPageBreak/>
              <w:t>proporcionāls attiecībā pret Noteikuma projektā paredzēto kopējo attiecināmo finansējumu - 6 050 854 euro, kas noteikts Noteikuma projekta 8. punktā. Vēršam uzmanību, ka noteikumu projektā minēto finansējumu spētu īstenot arī BN ar būtiski mazāku apgrozījuma apmēru.</w:t>
            </w:r>
            <w:r>
              <w:br/>
            </w:r>
            <w:r>
              <w:br/>
            </w:r>
            <w:r>
              <w:br/>
            </w:r>
            <w:r>
              <w:br/>
              <w:t>[1] Datu avots: Centrālās statistikas pārvalde</w:t>
            </w:r>
            <w:r>
              <w:br/>
            </w:r>
          </w:p>
        </w:tc>
        <w:tc>
          <w:tcPr>
            <w:tcW w:w="1650" w:type="dxa"/>
            <w:shd w:val="clear" w:color="auto" w:fill="FFFFFF"/>
            <w:noWrap/>
            <w:tcMar>
              <w:top w:w="75" w:type="dxa"/>
              <w:left w:w="75" w:type="dxa"/>
              <w:bottom w:w="75" w:type="dxa"/>
              <w:right w:w="75" w:type="dxa"/>
            </w:tcMar>
            <w:vAlign w:val="center"/>
          </w:tcPr>
          <w:p w14:paraId="404AF879" w14:textId="51644AFE" w:rsidR="00DB0BFF" w:rsidRDefault="00246EA3">
            <w:pPr>
              <w:jc w:val="left"/>
            </w:pPr>
            <w:r>
              <w:rPr>
                <w:b/>
              </w:rPr>
              <w:lastRenderedPageBreak/>
              <w:t>Nav ņemts vērā</w:t>
            </w:r>
          </w:p>
        </w:tc>
        <w:tc>
          <w:tcPr>
            <w:tcW w:w="4056" w:type="dxa"/>
            <w:shd w:val="clear" w:color="auto" w:fill="FFFFFF"/>
            <w:noWrap/>
            <w:tcMar>
              <w:top w:w="75" w:type="dxa"/>
              <w:left w:w="75" w:type="dxa"/>
              <w:bottom w:w="75" w:type="dxa"/>
              <w:right w:w="75" w:type="dxa"/>
            </w:tcMar>
            <w:vAlign w:val="center"/>
          </w:tcPr>
          <w:p w14:paraId="554D85FB" w14:textId="50DC3B31" w:rsidR="00246EA3" w:rsidRPr="00246EA3" w:rsidRDefault="00246EA3" w:rsidP="00246EA3">
            <w:pPr>
              <w:jc w:val="left"/>
            </w:pPr>
            <w:r>
              <w:t xml:space="preserve">Skaidrojam, ka </w:t>
            </w:r>
            <w:r w:rsidRPr="00246EA3">
              <w:t xml:space="preserve">4.2.4.1.pasākuma </w:t>
            </w:r>
            <w:r>
              <w:t>“</w:t>
            </w:r>
            <w:r w:rsidRPr="00246EA3">
              <w:t>Atbalsts nozaru vajadzībās balstītai pieaugušo izglītībai</w:t>
            </w:r>
            <w:r>
              <w:t xml:space="preserve">” (turpmāk - 4.2.4.1. pasākums) otrās </w:t>
            </w:r>
            <w:r w:rsidRPr="00246EA3">
              <w:t>kārtas mērķis ir izstrādāt Latvijai atbilstošu Prasmju fonda finansēšanas un darbības modeli,</w:t>
            </w:r>
            <w:r w:rsidR="00B145CE">
              <w:t xml:space="preserve"> lai</w:t>
            </w:r>
            <w:r w:rsidRPr="00246EA3">
              <w:t xml:space="preserve"> ilgtermiņā </w:t>
            </w:r>
            <w:r w:rsidR="00B145CE">
              <w:t xml:space="preserve">tas kļūtu </w:t>
            </w:r>
            <w:r w:rsidRPr="00246EA3">
              <w:t xml:space="preserve"> par pašregulējošu un pašfinansējošu struktūru</w:t>
            </w:r>
            <w:r w:rsidR="00B145CE">
              <w:t xml:space="preserve"> nozaru cilvēkresursu attīstībai</w:t>
            </w:r>
            <w:r w:rsidRPr="00246EA3">
              <w:t xml:space="preserve">. </w:t>
            </w:r>
            <w:r>
              <w:t xml:space="preserve">Saskaņā ar </w:t>
            </w:r>
            <w:r w:rsidRPr="00246EA3">
              <w:t xml:space="preserve">Eiropas Savienības kohēzijas politikas </w:t>
            </w:r>
            <w:r w:rsidRPr="00246EA3">
              <w:lastRenderedPageBreak/>
              <w:t xml:space="preserve">programmā 2021.–2027.gadam noteikto, </w:t>
            </w:r>
          </w:p>
          <w:p w14:paraId="7B1A3C45" w14:textId="2B860D67" w:rsidR="00246EA3" w:rsidRPr="00246EA3" w:rsidRDefault="00246EA3">
            <w:pPr>
              <w:jc w:val="left"/>
              <w:rPr>
                <w:lang w:val="en-US"/>
              </w:rPr>
            </w:pPr>
            <w:r>
              <w:t>4.2.4.1. pasākuma otrās kārtas p</w:t>
            </w:r>
            <w:r w:rsidRPr="00246EA3">
              <w:t>lānotajos projektos paredzēts izstrādāt sociāl</w:t>
            </w:r>
            <w:r w:rsidR="00B145CE">
              <w:t xml:space="preserve">ajā </w:t>
            </w:r>
            <w:r w:rsidRPr="00246EA3">
              <w:t xml:space="preserve"> dialog</w:t>
            </w:r>
            <w:r w:rsidR="00B145CE">
              <w:t xml:space="preserve">ā </w:t>
            </w:r>
            <w:r>
              <w:t xml:space="preserve">, </w:t>
            </w:r>
            <w:r w:rsidRPr="00246EA3">
              <w:t>starp </w:t>
            </w:r>
            <w:hyperlink r:id="rId6" w:tooltip="Arodbiedrība" w:history="1">
              <w:r w:rsidRPr="00246EA3">
                <w:t>arodbiedrībām</w:t>
              </w:r>
            </w:hyperlink>
            <w:r w:rsidRPr="00246EA3">
              <w:t> un darba devēju </w:t>
            </w:r>
            <w:hyperlink r:id="rId7" w:tooltip="Organizācija" w:history="1">
              <w:r w:rsidRPr="00246EA3">
                <w:t>organizācijām</w:t>
              </w:r>
            </w:hyperlink>
            <w:r>
              <w:t>,</w:t>
            </w:r>
            <w:r w:rsidRPr="00246EA3">
              <w:t xml:space="preserve"> balstītu sistēmu cilvēkresursu prasmju attīstībai nozarē, lai ātri un efektīvi pielāgotu darbaspēku darba tirgus attīstības vajadzībām.</w:t>
            </w:r>
          </w:p>
          <w:p w14:paraId="33F65917" w14:textId="77777777" w:rsidR="00246EA3" w:rsidRDefault="00246EA3">
            <w:pPr>
              <w:jc w:val="left"/>
            </w:pPr>
          </w:p>
          <w:p w14:paraId="7494AE54" w14:textId="5D3E6714" w:rsidR="00246EA3" w:rsidRPr="00246EA3" w:rsidRDefault="00246EA3" w:rsidP="00246EA3">
            <w:pPr>
              <w:jc w:val="left"/>
              <w:rPr>
                <w:lang w:val="en-US"/>
              </w:rPr>
            </w:pPr>
            <w:r w:rsidRPr="00246EA3">
              <w:t xml:space="preserve">Turklāt, pamatojoties uz Cedefop pētījumu “Apmācību fondi ES” </w:t>
            </w:r>
            <w:r>
              <w:t xml:space="preserve">(pieejams: </w:t>
            </w:r>
            <w:hyperlink r:id="rId8" w:history="1">
              <w:r w:rsidRPr="00E20957">
                <w:rPr>
                  <w:rStyle w:val="Hyperlink"/>
                </w:rPr>
                <w:t>https://epale.ec.europa.eu/lv/blog/prasmju-fondi-cedefop-fokusa</w:t>
              </w:r>
            </w:hyperlink>
            <w:r>
              <w:t xml:space="preserve">) </w:t>
            </w:r>
            <w:r w:rsidRPr="00246EA3">
              <w:t xml:space="preserve">fokusa grupu diskusijām un citu valstu piemēriem, tika secināts, ka </w:t>
            </w:r>
            <w:r>
              <w:t xml:space="preserve">prasmju fonda </w:t>
            </w:r>
            <w:r w:rsidRPr="00246EA3">
              <w:t>izmēģinājuma projektu ietvaros būtu jāsniedz lielāks atbalsts uzņēmumu un darbinieku organizāciju sadarbības modeļa ieviešana</w:t>
            </w:r>
            <w:r>
              <w:t>i</w:t>
            </w:r>
            <w:r w:rsidRPr="00246EA3">
              <w:t>, lai izvērtētu darba tirgus situāciju un sagatavotu vienotu redzējumu par atbalsta pasākumiem un mācību vajadzībām</w:t>
            </w:r>
            <w:r>
              <w:t xml:space="preserve"> </w:t>
            </w:r>
            <w:r w:rsidRPr="00246EA3">
              <w:t>darba tirgū</w:t>
            </w:r>
            <w:r>
              <w:t xml:space="preserve">, </w:t>
            </w:r>
            <w:r w:rsidRPr="00246EA3">
              <w:t xml:space="preserve">tai skaitā </w:t>
            </w:r>
            <w:r w:rsidRPr="00246EA3">
              <w:lastRenderedPageBreak/>
              <w:t>nākotnes prasmēm</w:t>
            </w:r>
            <w:r>
              <w:t xml:space="preserve"> attiecīgajā nozarē un</w:t>
            </w:r>
            <w:r w:rsidRPr="00246EA3">
              <w:t xml:space="preserve"> saistītās nozares, kā arī pasākumi</w:t>
            </w:r>
            <w:r>
              <w:t>em</w:t>
            </w:r>
            <w:r w:rsidRPr="00246EA3">
              <w:t xml:space="preserve"> mērķa grupas un sabiedrības iesaistīšanai un informēšanai par projekta mērķiem, virzību un rezultātiem.</w:t>
            </w:r>
          </w:p>
          <w:p w14:paraId="20306447" w14:textId="77777777" w:rsidR="00246EA3" w:rsidRDefault="00246EA3" w:rsidP="00246EA3">
            <w:pPr>
              <w:jc w:val="left"/>
            </w:pPr>
            <w:r>
              <w:t xml:space="preserve"> </w:t>
            </w:r>
          </w:p>
          <w:p w14:paraId="3984B0D7" w14:textId="2C7DFCCB" w:rsidR="00246EA3" w:rsidRDefault="00246EA3" w:rsidP="00246EA3">
            <w:pPr>
              <w:jc w:val="left"/>
            </w:pPr>
            <w:r>
              <w:t>Pasākuma</w:t>
            </w:r>
            <w:r w:rsidRPr="00246EA3">
              <w:t xml:space="preserve"> īstenošana</w:t>
            </w:r>
            <w:r>
              <w:t xml:space="preserve"> plānota atklātā projektu iesniegumu atlasē, vienlaikus ievērojot pasākumam pieejamo finansējuma apmēru un tā plānoto mērķi, kā arī pēc </w:t>
            </w:r>
            <w:r w:rsidRPr="00246EA3">
              <w:t>konsult</w:t>
            </w:r>
            <w:r>
              <w:t>ācijām</w:t>
            </w:r>
            <w:r w:rsidRPr="00246EA3">
              <w:t xml:space="preserve"> ar darba devēju un uzņēmēju asociācijas pārstāvošajām organizācijām, secināts, ka Prasmju fonda pilotprojektus varētu īstenot indikatīvi trijās </w:t>
            </w:r>
            <w:r>
              <w:t xml:space="preserve">līdz piecās </w:t>
            </w:r>
            <w:r w:rsidRPr="00246EA3">
              <w:t>nozarēs</w:t>
            </w:r>
            <w:r>
              <w:t>.</w:t>
            </w:r>
          </w:p>
          <w:p w14:paraId="5B21A3E6" w14:textId="77777777" w:rsidR="00246EA3" w:rsidRDefault="00246EA3" w:rsidP="00246EA3">
            <w:pPr>
              <w:jc w:val="left"/>
            </w:pPr>
          </w:p>
          <w:p w14:paraId="2419BBB3" w14:textId="55E94B8E" w:rsidR="00246EA3" w:rsidRDefault="00246EA3" w:rsidP="00246EA3">
            <w:pPr>
              <w:jc w:val="left"/>
            </w:pPr>
            <w:r>
              <w:t>Vienlaikus a</w:t>
            </w:r>
            <w:r w:rsidRPr="00246EA3">
              <w:t xml:space="preserve">r MK noteikumu projektu un  projektu īstenošanu ir plānots izpildīt Atveseļošanas fonda plāna reformu un investīciju virziena Nr.2.3. "Digitālās prasmes" reformas 2.3.1.r. Ilgtspējīgas un sociāli atbildīgas atbalsta sistēmas pieaugušo </w:t>
            </w:r>
            <w:r w:rsidRPr="00246EA3">
              <w:lastRenderedPageBreak/>
              <w:t>izglītībai attīstība" 58.mērķi “Prasmju fondu koncepcijas izstrāde” un 59.mērķi “Prasmju fondu izmēģinājuma projekti”</w:t>
            </w:r>
            <w:r>
              <w:t xml:space="preserve"> un šīs </w:t>
            </w:r>
            <w:r w:rsidRPr="00246EA3">
              <w:t xml:space="preserve">reformas tiešais rezultāts ir valsts līmeņa atbalsta sistēmas izveide ar mērķi palielināt iedzīvotāju līdzdalību pieaugušo izglītībā, tai skaitā, apmaksātā darba laika ietvaros. Attiecīgi </w:t>
            </w:r>
            <w:r>
              <w:t>i</w:t>
            </w:r>
            <w:r w:rsidRPr="00246EA3">
              <w:t>zmēģinājuma projekt</w:t>
            </w:r>
            <w:r>
              <w:t>u</w:t>
            </w:r>
            <w:r w:rsidRPr="00246EA3">
              <w:t xml:space="preserve"> mērķis ir novērtēt šādas pieejas ieviešanas iespējas Latvijas kontekstā, tostarp izmēģinot tādus aspektus kā: a) valsts un privāto līdzieguldījumu proporcionalitāti un dinamiku laika gaitā, b) sadarbības modeli starp komersantiem un darba ņēmēju organizācijām, lai sagatavotu kopīgu mācību vajadzību redzējumu, tostarp “nākotnes prasmēm” nozarē un saistītajās nozarēs, c) mācību un citu nepieciešamo pasākumu cilvēkkapitāla attīstībai nozarē īstenošanas plānu, kas ietver jaunu darbinieku sagatavošanu nozares attīstībai </w:t>
            </w:r>
            <w:r w:rsidRPr="00246EA3">
              <w:lastRenderedPageBreak/>
              <w:t>t.sk. pārkvalificējot citās nozarēs nodarbinātos un esošo darbinieku prasmju pilnveidi.</w:t>
            </w:r>
            <w:r>
              <w:t xml:space="preserve"> </w:t>
            </w:r>
          </w:p>
          <w:p w14:paraId="06CFE493" w14:textId="77777777" w:rsidR="00246EA3" w:rsidRDefault="00246EA3" w:rsidP="00246EA3">
            <w:pPr>
              <w:jc w:val="left"/>
            </w:pPr>
            <w:r>
              <w:t xml:space="preserve"> </w:t>
            </w:r>
          </w:p>
          <w:p w14:paraId="2EF5F5A8" w14:textId="50BD0328" w:rsidR="00246EA3" w:rsidRPr="00246EA3" w:rsidRDefault="00246EA3" w:rsidP="00246EA3">
            <w:pPr>
              <w:jc w:val="left"/>
            </w:pPr>
            <w:r>
              <w:t>Ievērojot augstāk minēto un 4.2.4.1. pasākuma otrās kārtas mērķi, proti izveidot ilgstpējīgu pras</w:t>
            </w:r>
            <w:r w:rsidR="00B145CE">
              <w:t>m</w:t>
            </w:r>
            <w:r>
              <w:t xml:space="preserve">ju fonda modeli/sistēmu, kas spētu patstāvīgi darbīboties arī pēc projekta noslēguma, nevis vienkārši apgūt projekta finansejumu un īstenot savu darbinieku mācības, MK noteikumos izvirzīta </w:t>
            </w:r>
            <w:r w:rsidRPr="00246EA3">
              <w:t>prasība</w:t>
            </w:r>
            <w:r>
              <w:t>, ka</w:t>
            </w:r>
            <w:r w:rsidRPr="00246EA3">
              <w:t xml:space="preserve"> projekta iesniedzējs- finansējuma saņēmējs, var  būt LR Uzņēmumu reģistra biedrību un nodibinājumu reģistrā reģistrēta biedrība vai nodibinājum</w:t>
            </w:r>
            <w:r>
              <w:t>s</w:t>
            </w:r>
            <w:r w:rsidRPr="00246EA3">
              <w:t>, kas apvieno vienas nozares komersantus</w:t>
            </w:r>
            <w:r>
              <w:t xml:space="preserve"> un tai</w:t>
            </w:r>
            <w:r w:rsidRPr="00246EA3">
              <w:t xml:space="preserve"> kā sadarbības partneri jāpiesaista vismaz Ekonomikas ministriju vai cita nozares ministriju, kura izstrādā un organizē attiecīgās nozares politiku, kā arī biedrību vai nodibinājumu, kas pārstāv un īsteno darba ņēmēju darba, ekonomiskās, sociālās un </w:t>
            </w:r>
            <w:r w:rsidRPr="00246EA3">
              <w:lastRenderedPageBreak/>
              <w:t>profesionālās tiesības un intereses/  tiesību un interešu aizstāvību nozaru un starpnozaru līmenī, kas kopā visi veido prasmju pārvaldītāju</w:t>
            </w:r>
            <w:r>
              <w:t xml:space="preserve">, kā arī noteikta </w:t>
            </w:r>
            <w:r w:rsidRPr="00246EA3">
              <w:t>prasība, ka biedrības apgrozījums pēdējā noslēgtajā pārskata gadā pārsniedz 300 miljonus euro.</w:t>
            </w:r>
          </w:p>
          <w:p w14:paraId="72B8BD55" w14:textId="77777777" w:rsidR="00246EA3" w:rsidRDefault="00246EA3" w:rsidP="00246EA3">
            <w:pPr>
              <w:jc w:val="left"/>
            </w:pPr>
          </w:p>
          <w:p w14:paraId="69710361" w14:textId="3D473D56" w:rsidR="0043665F" w:rsidRDefault="0043665F" w:rsidP="00246EA3">
            <w:pPr>
              <w:jc w:val="left"/>
            </w:pPr>
            <w:r>
              <w:t>Turklāt l</w:t>
            </w:r>
            <w:r w:rsidRPr="0043665F">
              <w:t xml:space="preserve">ai nodrošinātu, ka pieteikumus prasmju fonda pilotprojektu īstenošanai iesniedz augstas gatavības projektu potenciālie īstenotāji, </w:t>
            </w:r>
            <w:r>
              <w:t>MK noteikumi</w:t>
            </w:r>
            <w:r w:rsidRPr="0043665F">
              <w:t xml:space="preserve"> paredz</w:t>
            </w:r>
            <w:r>
              <w:t xml:space="preserve"> ka projekta iesniedzējs </w:t>
            </w:r>
            <w:r w:rsidRPr="0043665F">
              <w:t>ar prasmju fonda koncepta izstrādē un īstenošanā iesaistītu nozares ministriju vai Ekonomikas ministriju noslē</w:t>
            </w:r>
            <w:r>
              <w:t>dz</w:t>
            </w:r>
            <w:r w:rsidRPr="0043665F">
              <w:t xml:space="preserve"> līdzdarbības līgumu par pārvaldes uzdevuma, kas ir saistīts ar sociālajā dialogā balstītu sistēmas nozares uzņēmumos nodarbināto, tai skaitā, pašnodarbināto un nozares potenciālā darba spēka prasmju attīstībai ātrai un efektīvai darbaspēka pielāgošanai </w:t>
            </w:r>
            <w:r w:rsidRPr="0043665F">
              <w:lastRenderedPageBreak/>
              <w:t>darba tirgus attīstības vajadzībām attīstību īstenošanu</w:t>
            </w:r>
            <w:r>
              <w:t>.</w:t>
            </w:r>
          </w:p>
          <w:p w14:paraId="7F58ACE0" w14:textId="77777777" w:rsidR="0043665F" w:rsidRDefault="0043665F" w:rsidP="00246EA3">
            <w:pPr>
              <w:jc w:val="left"/>
            </w:pPr>
          </w:p>
          <w:p w14:paraId="172B105A" w14:textId="7A96619B" w:rsidR="00246EA3" w:rsidRPr="00246EA3" w:rsidRDefault="0043665F">
            <w:pPr>
              <w:jc w:val="left"/>
              <w:rPr>
                <w:lang w:val="en-US"/>
              </w:rPr>
            </w:pPr>
            <w:r>
              <w:t>Papildus tam</w:t>
            </w:r>
            <w:r w:rsidR="00246EA3" w:rsidRPr="00246EA3">
              <w:t xml:space="preserve"> </w:t>
            </w:r>
            <w:r w:rsidR="00246EA3">
              <w:t xml:space="preserve">iesniedzot projekta iesniegumu projekta iesniedzējam jāiesniedz arī </w:t>
            </w:r>
            <w:r w:rsidR="00246EA3" w:rsidRPr="00246EA3">
              <w:t>prasmju fonda konceptuāl</w:t>
            </w:r>
            <w:r w:rsidR="00246EA3">
              <w:t>ais</w:t>
            </w:r>
            <w:r w:rsidR="00246EA3" w:rsidRPr="00246EA3">
              <w:t xml:space="preserve"> aprakst</w:t>
            </w:r>
            <w:r w:rsidR="00246EA3">
              <w:t>s, kurā</w:t>
            </w:r>
            <w:r w:rsidR="00246EA3" w:rsidRPr="00246EA3">
              <w:t xml:space="preserve"> finansējuma saņēmējam jāietver projektā iesaistāmo prasmju fonda dalībnieku/uzņēmumu raksturojums, t.sk. cilvēkresursu vajadzības, un to plānot</w:t>
            </w:r>
            <w:r w:rsidR="00246EA3">
              <w:t>ais</w:t>
            </w:r>
            <w:r w:rsidR="00246EA3" w:rsidRPr="00246EA3">
              <w:t xml:space="preserve"> ieguldījum</w:t>
            </w:r>
            <w:r w:rsidR="00246EA3">
              <w:t>s</w:t>
            </w:r>
            <w:r w:rsidR="00246EA3" w:rsidRPr="00246EA3">
              <w:t>, tostarp iemaksu apjom</w:t>
            </w:r>
            <w:r w:rsidR="00246EA3">
              <w:t>s</w:t>
            </w:r>
            <w:r w:rsidR="00246EA3" w:rsidRPr="00246EA3">
              <w:t xml:space="preserve"> prasmju fonda ietvaros.</w:t>
            </w:r>
            <w:r w:rsidR="00246EA3">
              <w:t xml:space="preserve"> MK noteikumos tiek paredzēts, ka</w:t>
            </w:r>
            <w:r w:rsidR="00246EA3" w:rsidRPr="00246EA3">
              <w:t xml:space="preserve"> prasmju fonda dalībnieki </w:t>
            </w:r>
            <w:r w:rsidR="00246EA3">
              <w:t>-</w:t>
            </w:r>
            <w:r w:rsidR="00246EA3" w:rsidRPr="00246EA3">
              <w:t xml:space="preserve">komersanti vai iestādes, veic iemaksas (konkrēta naudas summa, ko prasmju fonda dalībnieki samaksā prasmju fondā, daļa no kādas samaksas) prasmju fondā un </w:t>
            </w:r>
            <w:r w:rsidR="00246EA3">
              <w:t xml:space="preserve">attiecīgi </w:t>
            </w:r>
            <w:r w:rsidR="00246EA3" w:rsidRPr="00246EA3">
              <w:t>ir tiesīga saņemt prasmju fonda piedāvāto atbalstu</w:t>
            </w:r>
            <w:r w:rsidR="00246EA3">
              <w:t>, tostarp mācības</w:t>
            </w:r>
            <w:r w:rsidR="00246EA3" w:rsidRPr="00246EA3">
              <w:t>.</w:t>
            </w:r>
          </w:p>
        </w:tc>
      </w:tr>
    </w:tbl>
    <w:p w14:paraId="44D1AD13" w14:textId="77777777" w:rsidR="00DB0BFF" w:rsidRDefault="00DB0BFF"/>
    <w:tbl>
      <w:tblPr>
        <w:tblStyle w:val="a"/>
        <w:tblW w:w="14567" w:type="dxa"/>
        <w:tblLayout w:type="fixed"/>
        <w:tblLook w:val="0600" w:firstRow="0" w:lastRow="0" w:firstColumn="0" w:lastColumn="0" w:noHBand="1" w:noVBand="1"/>
      </w:tblPr>
      <w:tblGrid>
        <w:gridCol w:w="4855"/>
        <w:gridCol w:w="4856"/>
        <w:gridCol w:w="4856"/>
      </w:tblGrid>
      <w:tr w:rsidR="00DB0BFF" w14:paraId="2A5F3010" w14:textId="77777777">
        <w:tc>
          <w:tcPr>
            <w:tcW w:w="4855" w:type="dxa"/>
            <w:shd w:val="clear" w:color="auto" w:fill="FFFFFF"/>
            <w:noWrap/>
            <w:tcMar>
              <w:top w:w="75" w:type="dxa"/>
              <w:left w:w="75" w:type="dxa"/>
              <w:bottom w:w="75" w:type="dxa"/>
              <w:right w:w="75" w:type="dxa"/>
            </w:tcMar>
            <w:vAlign w:val="center"/>
          </w:tcPr>
          <w:p w14:paraId="3AE99542" w14:textId="77777777" w:rsidR="00DB0BFF"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2E0FD946" w14:textId="77777777" w:rsidR="00DB0BFF" w:rsidRDefault="00DB0BF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10F132B" w14:textId="77777777" w:rsidR="00DB0BFF" w:rsidRDefault="00DB0BFF"/>
        </w:tc>
      </w:tr>
      <w:tr w:rsidR="00DB0BFF" w14:paraId="4AFF0F3A" w14:textId="77777777">
        <w:tc>
          <w:tcPr>
            <w:tcW w:w="4855" w:type="dxa"/>
            <w:shd w:val="clear" w:color="auto" w:fill="FFFFFF"/>
            <w:noWrap/>
            <w:tcMar>
              <w:top w:w="75" w:type="dxa"/>
              <w:left w:w="75" w:type="dxa"/>
              <w:bottom w:w="75" w:type="dxa"/>
              <w:right w:w="75" w:type="dxa"/>
            </w:tcMar>
            <w:vAlign w:val="center"/>
          </w:tcPr>
          <w:p w14:paraId="20C3AEAE" w14:textId="77777777" w:rsidR="00DB0BFF" w:rsidRDefault="00DB0BFF"/>
        </w:tc>
        <w:tc>
          <w:tcPr>
            <w:tcW w:w="4856" w:type="dxa"/>
            <w:shd w:val="clear" w:color="auto" w:fill="FFFFFF"/>
            <w:noWrap/>
            <w:tcMar>
              <w:top w:w="75" w:type="dxa"/>
              <w:left w:w="75" w:type="dxa"/>
              <w:bottom w:w="75" w:type="dxa"/>
              <w:right w:w="75" w:type="dxa"/>
            </w:tcMar>
            <w:vAlign w:val="center"/>
          </w:tcPr>
          <w:p w14:paraId="0E110D06" w14:textId="77777777" w:rsidR="00DB0BFF"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3F2D616B" w14:textId="77777777" w:rsidR="00DB0BFF" w:rsidRDefault="00DB0BFF"/>
        </w:tc>
      </w:tr>
      <w:tr w:rsidR="00DB0BFF" w14:paraId="2FE6571B" w14:textId="77777777">
        <w:tc>
          <w:tcPr>
            <w:tcW w:w="4855" w:type="dxa"/>
            <w:shd w:val="clear" w:color="auto" w:fill="FFFFFF"/>
            <w:noWrap/>
            <w:tcMar>
              <w:top w:w="75" w:type="dxa"/>
              <w:left w:w="75" w:type="dxa"/>
              <w:bottom w:w="75" w:type="dxa"/>
              <w:right w:w="75" w:type="dxa"/>
            </w:tcMar>
            <w:vAlign w:val="center"/>
          </w:tcPr>
          <w:p w14:paraId="35F7F73E" w14:textId="77777777" w:rsidR="00DB0BFF" w:rsidRDefault="00000000">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14:paraId="04D4D0D5" w14:textId="77777777" w:rsidR="00DB0BFF" w:rsidRDefault="00DB0BF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35C1D8B" w14:textId="77777777" w:rsidR="00DB0BFF" w:rsidRDefault="00DB0BFF"/>
        </w:tc>
      </w:tr>
      <w:tr w:rsidR="00DB0BFF" w14:paraId="7EFC1A90" w14:textId="77777777">
        <w:tc>
          <w:tcPr>
            <w:tcW w:w="4855" w:type="dxa"/>
            <w:shd w:val="clear" w:color="auto" w:fill="FFFFFF"/>
            <w:noWrap/>
            <w:tcMar>
              <w:top w:w="75" w:type="dxa"/>
              <w:left w:w="75" w:type="dxa"/>
              <w:bottom w:w="75" w:type="dxa"/>
              <w:right w:w="75" w:type="dxa"/>
            </w:tcMar>
            <w:vAlign w:val="center"/>
          </w:tcPr>
          <w:p w14:paraId="32A87928" w14:textId="77777777" w:rsidR="00DB0BFF" w:rsidRDefault="00DB0BFF"/>
        </w:tc>
        <w:tc>
          <w:tcPr>
            <w:tcW w:w="4856" w:type="dxa"/>
            <w:shd w:val="clear" w:color="auto" w:fill="FFFFFF"/>
            <w:noWrap/>
            <w:tcMar>
              <w:top w:w="75" w:type="dxa"/>
              <w:left w:w="75" w:type="dxa"/>
              <w:bottom w:w="75" w:type="dxa"/>
              <w:right w:w="75" w:type="dxa"/>
            </w:tcMar>
            <w:vAlign w:val="center"/>
          </w:tcPr>
          <w:p w14:paraId="043CBEEA" w14:textId="77777777" w:rsidR="00DB0BFF"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2974C025" w14:textId="77777777" w:rsidR="00DB0BFF" w:rsidRDefault="00DB0BFF"/>
        </w:tc>
      </w:tr>
    </w:tbl>
    <w:p w14:paraId="2893FF53" w14:textId="77777777" w:rsidR="00DB0BFF" w:rsidRDefault="00DB0BFF"/>
    <w:p w14:paraId="50B6D41D" w14:textId="77777777" w:rsidR="00DB0BFF" w:rsidRDefault="00000000">
      <w:r>
        <w:t>Piezīmes.</w:t>
      </w:r>
    </w:p>
    <w:p w14:paraId="10F448E2" w14:textId="77777777" w:rsidR="00DB0BFF" w:rsidRDefault="00000000">
      <w:r>
        <w:t>* Iesniedzējs (fiziskai personai – vārds, uzvārds, juridiskai personai – nosaukums) var tikt publiskots, ja viņš tam ir piekritis. Ja attiecināms, iesniedzējs norāda interešu pārstāvja reģistrācijas numuru.</w:t>
      </w:r>
    </w:p>
    <w:p w14:paraId="069CD29B" w14:textId="77777777" w:rsidR="00DB0BFF" w:rsidRDefault="00000000">
      <w:r>
        <w:t>** Dokumenta rekvizītus "datums" un "paraksts" neaizpilda, ja elektroniskais dokuments ir sagatavots atbilstoši normatīvajiem aktiem par elektronisko dokumentu noformēšanu.</w:t>
      </w:r>
    </w:p>
    <w:sectPr w:rsidR="00DB0BFF">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765F4" w14:textId="77777777" w:rsidR="00380767" w:rsidRDefault="00380767">
      <w:r>
        <w:separator/>
      </w:r>
    </w:p>
  </w:endnote>
  <w:endnote w:type="continuationSeparator" w:id="0">
    <w:p w14:paraId="799C2E64" w14:textId="77777777" w:rsidR="00380767" w:rsidRDefault="00380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charset w:val="00"/>
    <w:family w:val="roman"/>
    <w:pitch w:val="default"/>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2CDF" w14:textId="77777777" w:rsidR="00DB0BFF" w:rsidRDefault="00000000">
    <w:pPr>
      <w:jc w:val="right"/>
    </w:pPr>
    <w:r>
      <w:rPr>
        <w:sz w:val="24"/>
        <w:szCs w:val="24"/>
      </w:rPr>
      <w:fldChar w:fldCharType="begin"/>
    </w:r>
    <w:r>
      <w:rPr>
        <w:sz w:val="24"/>
        <w:szCs w:val="24"/>
      </w:rPr>
      <w:instrText>PAGE</w:instrText>
    </w:r>
    <w:r>
      <w:rPr>
        <w:sz w:val="24"/>
        <w:szCs w:val="24"/>
      </w:rPr>
      <w:fldChar w:fldCharType="separate"/>
    </w:r>
    <w:r w:rsidR="009B32D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DF19" w14:textId="77777777" w:rsidR="00865A1C"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2938" w14:textId="77777777" w:rsidR="00380767" w:rsidRDefault="00380767">
      <w:r>
        <w:separator/>
      </w:r>
    </w:p>
  </w:footnote>
  <w:footnote w:type="continuationSeparator" w:id="0">
    <w:p w14:paraId="0B411233" w14:textId="77777777" w:rsidR="00380767" w:rsidRDefault="00380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84E6" w14:textId="77777777" w:rsidR="00DB0BFF" w:rsidRDefault="00000000">
    <w:pPr>
      <w:pStyle w:val="Header"/>
      <w:contextualSpacing w:val="0"/>
    </w:pPr>
    <w:r>
      <w:t>Viedokļu pārskats 24-TA-1424</w:t>
    </w:r>
    <w:r>
      <w:br/>
      <w:t>Izdrukāts 09.01.2025. 17.15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6EFE" w14:textId="77777777" w:rsidR="00DB0BFF" w:rsidRDefault="00000000">
    <w:pPr>
      <w:pStyle w:val="Header"/>
      <w:contextualSpacing w:val="0"/>
    </w:pPr>
    <w:r>
      <w:t>Viedokļu pārskats 24-TA-1424</w:t>
    </w:r>
    <w:r>
      <w:br/>
      <w:t>Izdrukāts 09.01.2025. 17.15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FF"/>
    <w:rsid w:val="00246EA3"/>
    <w:rsid w:val="00357C56"/>
    <w:rsid w:val="00380767"/>
    <w:rsid w:val="0043665F"/>
    <w:rsid w:val="00865A1C"/>
    <w:rsid w:val="008E613F"/>
    <w:rsid w:val="009B32DC"/>
    <w:rsid w:val="00AB5B16"/>
    <w:rsid w:val="00B145CE"/>
    <w:rsid w:val="00B67E19"/>
    <w:rsid w:val="00C7511E"/>
    <w:rsid w:val="00D772D3"/>
    <w:rsid w:val="00D77C79"/>
    <w:rsid w:val="00DB0BFF"/>
    <w:rsid w:val="00FB2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BDB75"/>
  <w15:docId w15:val="{43C84835-45FD-40AF-BB26-ECF1EA10A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HTMLPreformatted">
    <w:name w:val="HTML Preformatted"/>
    <w:basedOn w:val="Normal"/>
    <w:link w:val="HTMLPreformattedChar"/>
    <w:uiPriority w:val="99"/>
    <w:semiHidden/>
    <w:unhideWhenUsed/>
    <w:rsid w:val="00246EA3"/>
    <w:rPr>
      <w:rFonts w:ascii="Consolas" w:hAnsi="Consolas"/>
      <w:sz w:val="20"/>
    </w:rPr>
  </w:style>
  <w:style w:type="character" w:customStyle="1" w:styleId="HTMLPreformattedChar">
    <w:name w:val="HTML Preformatted Char"/>
    <w:basedOn w:val="DefaultParagraphFont"/>
    <w:link w:val="HTMLPreformatted"/>
    <w:uiPriority w:val="99"/>
    <w:semiHidden/>
    <w:rsid w:val="00246EA3"/>
    <w:rPr>
      <w:rFonts w:ascii="Consolas" w:hAnsi="Consolas"/>
      <w:sz w:val="20"/>
    </w:rPr>
  </w:style>
  <w:style w:type="character" w:styleId="Hyperlink">
    <w:name w:val="Hyperlink"/>
    <w:basedOn w:val="DefaultParagraphFont"/>
    <w:uiPriority w:val="99"/>
    <w:unhideWhenUsed/>
    <w:rsid w:val="00246EA3"/>
    <w:rPr>
      <w:color w:val="467886" w:themeColor="hyperlink"/>
      <w:u w:val="single"/>
    </w:rPr>
  </w:style>
  <w:style w:type="character" w:styleId="UnresolvedMention">
    <w:name w:val="Unresolved Mention"/>
    <w:basedOn w:val="DefaultParagraphFont"/>
    <w:uiPriority w:val="99"/>
    <w:semiHidden/>
    <w:unhideWhenUsed/>
    <w:rsid w:val="00246EA3"/>
    <w:rPr>
      <w:color w:val="605E5C"/>
      <w:shd w:val="clear" w:color="auto" w:fill="E1DFDD"/>
    </w:rPr>
  </w:style>
  <w:style w:type="paragraph" w:styleId="Revision">
    <w:name w:val="Revision"/>
    <w:hidden/>
    <w:uiPriority w:val="99"/>
    <w:semiHidden/>
    <w:rsid w:val="00B145C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8171">
      <w:bodyDiv w:val="1"/>
      <w:marLeft w:val="0"/>
      <w:marRight w:val="0"/>
      <w:marTop w:val="0"/>
      <w:marBottom w:val="0"/>
      <w:divBdr>
        <w:top w:val="none" w:sz="0" w:space="0" w:color="auto"/>
        <w:left w:val="none" w:sz="0" w:space="0" w:color="auto"/>
        <w:bottom w:val="none" w:sz="0" w:space="0" w:color="auto"/>
        <w:right w:val="none" w:sz="0" w:space="0" w:color="auto"/>
      </w:divBdr>
    </w:div>
    <w:div w:id="325979553">
      <w:bodyDiv w:val="1"/>
      <w:marLeft w:val="0"/>
      <w:marRight w:val="0"/>
      <w:marTop w:val="0"/>
      <w:marBottom w:val="0"/>
      <w:divBdr>
        <w:top w:val="none" w:sz="0" w:space="0" w:color="auto"/>
        <w:left w:val="none" w:sz="0" w:space="0" w:color="auto"/>
        <w:bottom w:val="none" w:sz="0" w:space="0" w:color="auto"/>
        <w:right w:val="none" w:sz="0" w:space="0" w:color="auto"/>
      </w:divBdr>
    </w:div>
    <w:div w:id="473252086">
      <w:bodyDiv w:val="1"/>
      <w:marLeft w:val="0"/>
      <w:marRight w:val="0"/>
      <w:marTop w:val="0"/>
      <w:marBottom w:val="0"/>
      <w:divBdr>
        <w:top w:val="none" w:sz="0" w:space="0" w:color="auto"/>
        <w:left w:val="none" w:sz="0" w:space="0" w:color="auto"/>
        <w:bottom w:val="none" w:sz="0" w:space="0" w:color="auto"/>
        <w:right w:val="none" w:sz="0" w:space="0" w:color="auto"/>
      </w:divBdr>
    </w:div>
    <w:div w:id="481045417">
      <w:bodyDiv w:val="1"/>
      <w:marLeft w:val="0"/>
      <w:marRight w:val="0"/>
      <w:marTop w:val="0"/>
      <w:marBottom w:val="0"/>
      <w:divBdr>
        <w:top w:val="none" w:sz="0" w:space="0" w:color="auto"/>
        <w:left w:val="none" w:sz="0" w:space="0" w:color="auto"/>
        <w:bottom w:val="none" w:sz="0" w:space="0" w:color="auto"/>
        <w:right w:val="none" w:sz="0" w:space="0" w:color="auto"/>
      </w:divBdr>
    </w:div>
    <w:div w:id="556093322">
      <w:bodyDiv w:val="1"/>
      <w:marLeft w:val="0"/>
      <w:marRight w:val="0"/>
      <w:marTop w:val="0"/>
      <w:marBottom w:val="0"/>
      <w:divBdr>
        <w:top w:val="none" w:sz="0" w:space="0" w:color="auto"/>
        <w:left w:val="none" w:sz="0" w:space="0" w:color="auto"/>
        <w:bottom w:val="none" w:sz="0" w:space="0" w:color="auto"/>
        <w:right w:val="none" w:sz="0" w:space="0" w:color="auto"/>
      </w:divBdr>
    </w:div>
    <w:div w:id="1041784488">
      <w:bodyDiv w:val="1"/>
      <w:marLeft w:val="0"/>
      <w:marRight w:val="0"/>
      <w:marTop w:val="0"/>
      <w:marBottom w:val="0"/>
      <w:divBdr>
        <w:top w:val="none" w:sz="0" w:space="0" w:color="auto"/>
        <w:left w:val="none" w:sz="0" w:space="0" w:color="auto"/>
        <w:bottom w:val="none" w:sz="0" w:space="0" w:color="auto"/>
        <w:right w:val="none" w:sz="0" w:space="0" w:color="auto"/>
      </w:divBdr>
    </w:div>
    <w:div w:id="1386374492">
      <w:bodyDiv w:val="1"/>
      <w:marLeft w:val="0"/>
      <w:marRight w:val="0"/>
      <w:marTop w:val="0"/>
      <w:marBottom w:val="0"/>
      <w:divBdr>
        <w:top w:val="none" w:sz="0" w:space="0" w:color="auto"/>
        <w:left w:val="none" w:sz="0" w:space="0" w:color="auto"/>
        <w:bottom w:val="none" w:sz="0" w:space="0" w:color="auto"/>
        <w:right w:val="none" w:sz="0" w:space="0" w:color="auto"/>
      </w:divBdr>
    </w:div>
    <w:div w:id="1521895351">
      <w:bodyDiv w:val="1"/>
      <w:marLeft w:val="0"/>
      <w:marRight w:val="0"/>
      <w:marTop w:val="0"/>
      <w:marBottom w:val="0"/>
      <w:divBdr>
        <w:top w:val="none" w:sz="0" w:space="0" w:color="auto"/>
        <w:left w:val="none" w:sz="0" w:space="0" w:color="auto"/>
        <w:bottom w:val="none" w:sz="0" w:space="0" w:color="auto"/>
        <w:right w:val="none" w:sz="0" w:space="0" w:color="auto"/>
      </w:divBdr>
    </w:div>
    <w:div w:id="1849641182">
      <w:bodyDiv w:val="1"/>
      <w:marLeft w:val="0"/>
      <w:marRight w:val="0"/>
      <w:marTop w:val="0"/>
      <w:marBottom w:val="0"/>
      <w:divBdr>
        <w:top w:val="none" w:sz="0" w:space="0" w:color="auto"/>
        <w:left w:val="none" w:sz="0" w:space="0" w:color="auto"/>
        <w:bottom w:val="none" w:sz="0" w:space="0" w:color="auto"/>
        <w:right w:val="none" w:sz="0" w:space="0" w:color="auto"/>
      </w:divBdr>
    </w:div>
    <w:div w:id="2145734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pale.ec.europa.eu/lv/blog/prasmju-fondi-cedefop-fokus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v.wikipedia.org/wiki/Organiz%C4%81cija"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v.wikipedia.org/wiki/Arodbiedr%C4%ABba"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1597</Words>
  <Characters>9106</Characters>
  <Application>Microsoft Office Word</Application>
  <DocSecurity>0</DocSecurity>
  <Lines>75</Lines>
  <Paragraphs>21</Paragraphs>
  <ScaleCrop>false</ScaleCrop>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viedoklu_parskats_24-TA-1424.docx</dc:title>
  <dc:creator>Līga Vilde-Jurisone</dc:creator>
  <cp:lastModifiedBy>Līga Vilde-Jurisone</cp:lastModifiedBy>
  <cp:revision>5</cp:revision>
  <dcterms:created xsi:type="dcterms:W3CDTF">2025-01-20T16:53:00Z</dcterms:created>
  <dcterms:modified xsi:type="dcterms:W3CDTF">2025-01-20T16:54:00Z</dcterms:modified>
</cp:coreProperties>
</file>