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A36F9F" w14:textId="77777777" w:rsidR="004A2B38" w:rsidRDefault="00C6492E">
      <w:pPr>
        <w:spacing w:after="240"/>
        <w:jc w:val="center"/>
        <w:rPr>
          <w:b/>
        </w:rPr>
      </w:pPr>
      <w:r>
        <w:rPr>
          <w:b/>
        </w:rPr>
        <w:t xml:space="preserve">“Publiskās apspriešanas laikā 09.12.2025. - 23.12.2025. saņemto viedokļu, priekšlikumu un iebildumu apkopojums par Noteikumi par aviācijas darbību dalību Eiropas Savienības emisijas kvotu tirdzniecības sistēmā </w:t>
      </w:r>
      <w:proofErr w:type="spellStart"/>
      <w:r>
        <w:rPr>
          <w:b/>
        </w:rPr>
        <w:t>un&amp;nbsp;starptautiskās</w:t>
      </w:r>
      <w:proofErr w:type="spellEnd"/>
      <w:r>
        <w:rPr>
          <w:b/>
        </w:rPr>
        <w:t xml:space="preserve"> aviācijas oglekļa dioksīda kompensēšanas un samazināšanas shēmā”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4A2B38" w14:paraId="3D0D510F" w14:textId="77777777">
        <w:tc>
          <w:tcPr>
            <w:tcW w:w="750" w:type="dxa"/>
            <w:shd w:val="clear" w:color="auto" w:fill="FFFFFF"/>
            <w:noWrap/>
            <w:tcMar>
              <w:top w:w="75" w:type="dxa"/>
              <w:left w:w="75" w:type="dxa"/>
              <w:bottom w:w="75" w:type="dxa"/>
              <w:right w:w="75" w:type="dxa"/>
            </w:tcMar>
            <w:vAlign w:val="center"/>
          </w:tcPr>
          <w:p w14:paraId="0AFDE0FC" w14:textId="77777777" w:rsidR="004A2B38" w:rsidRDefault="00C6492E">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48ACDC31" w14:textId="77777777" w:rsidR="004A2B38" w:rsidRDefault="00C6492E">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2A8829EE" w14:textId="77777777" w:rsidR="004A2B38" w:rsidRDefault="00C6492E">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44BD590A" w14:textId="77777777" w:rsidR="004A2B38" w:rsidRDefault="00C6492E">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2F0DBCB6" w14:textId="77777777" w:rsidR="004A2B38" w:rsidRDefault="00C6492E">
            <w:pPr>
              <w:jc w:val="center"/>
            </w:pPr>
            <w:r>
              <w:rPr>
                <w:b/>
              </w:rPr>
              <w:t>Skaidrojums, kādā veidā viedoklis / priekšlikums / iebildums ir ņemts vērā vai ņemts vērā daļēji, vai pamatojums, ja viedoklis / priekšlikums / iebildums nav ņemts vērā</w:t>
            </w:r>
          </w:p>
        </w:tc>
      </w:tr>
      <w:tr w:rsidR="004A2B38" w14:paraId="42092BB9" w14:textId="77777777">
        <w:tc>
          <w:tcPr>
            <w:tcW w:w="750" w:type="dxa"/>
            <w:shd w:val="clear" w:color="auto" w:fill="FFFFFF"/>
            <w:noWrap/>
            <w:tcMar>
              <w:top w:w="75" w:type="dxa"/>
              <w:left w:w="75" w:type="dxa"/>
              <w:bottom w:w="75" w:type="dxa"/>
              <w:right w:w="75" w:type="dxa"/>
            </w:tcMar>
            <w:vAlign w:val="center"/>
          </w:tcPr>
          <w:p w14:paraId="42EB761B" w14:textId="77777777" w:rsidR="004A2B38" w:rsidRDefault="00C6492E">
            <w:pPr>
              <w:jc w:val="center"/>
            </w:pPr>
            <w:r>
              <w:t>1.</w:t>
            </w:r>
          </w:p>
        </w:tc>
        <w:tc>
          <w:tcPr>
            <w:tcW w:w="4055" w:type="dxa"/>
            <w:shd w:val="clear" w:color="auto" w:fill="FFFFFF"/>
            <w:noWrap/>
            <w:tcMar>
              <w:top w:w="75" w:type="dxa"/>
              <w:left w:w="75" w:type="dxa"/>
              <w:bottom w:w="75" w:type="dxa"/>
              <w:right w:w="75" w:type="dxa"/>
            </w:tcMar>
            <w:vAlign w:val="center"/>
          </w:tcPr>
          <w:p w14:paraId="5E1EB27D" w14:textId="77777777" w:rsidR="004A2B38" w:rsidRDefault="00C6492E">
            <w:pPr>
              <w:jc w:val="left"/>
            </w:pPr>
            <w:r>
              <w:t>*valsts aģentūra "Latvijas Nacionālais akreditācijas birojs"</w:t>
            </w:r>
          </w:p>
        </w:tc>
        <w:tc>
          <w:tcPr>
            <w:tcW w:w="4056" w:type="dxa"/>
            <w:shd w:val="clear" w:color="auto" w:fill="FFFFFF"/>
            <w:noWrap/>
            <w:tcMar>
              <w:top w:w="75" w:type="dxa"/>
              <w:left w:w="75" w:type="dxa"/>
              <w:bottom w:w="75" w:type="dxa"/>
              <w:right w:w="75" w:type="dxa"/>
            </w:tcMar>
            <w:vAlign w:val="center"/>
          </w:tcPr>
          <w:p w14:paraId="5AB24697" w14:textId="77777777" w:rsidR="004A2B38" w:rsidRDefault="00C6492E">
            <w:pPr>
              <w:jc w:val="left"/>
            </w:pPr>
            <w:r>
              <w:t>Tiek izteikti šādi iebildumi:</w:t>
            </w:r>
            <w:r>
              <w:br/>
              <w:t>Noteikumu 26.1.punkts:</w:t>
            </w:r>
            <w:r>
              <w:br/>
            </w:r>
            <w:r>
              <w:t>Formulējums, ka verificētājs “kopā ar akreditāciju ir saņēmis apliecinājumu par atbilstību” Regulas (ES) Nr. 2018/2067 prasībām, nav korekts, jo Regula neparedz atsevišķa apliecinājuma izsniegšanu ārpus akreditācijas procesa. Atbilstība Regulas prasībām tiek konstatēta tieši akreditācijas ietvaros, līdz ar to ieteicams precizēt formulējumu, atsaucoties tikai uz akreditāciju atbilstoši Regulai (ES) Nr. 2018/2067.</w:t>
            </w:r>
            <w:r>
              <w:br/>
            </w:r>
            <w:proofErr w:type="spellStart"/>
            <w:r>
              <w:lastRenderedPageBreak/>
              <w:t>EndFragment</w:t>
            </w:r>
            <w:proofErr w:type="spellEnd"/>
            <w:r>
              <w:t xml:space="preserve"> Noteikumu 26.3.punkts:</w:t>
            </w:r>
            <w:r>
              <w:br/>
            </w:r>
            <w:proofErr w:type="spellStart"/>
            <w:r>
              <w:t>StartFragment</w:t>
            </w:r>
            <w:proofErr w:type="spellEnd"/>
            <w:r>
              <w:t xml:space="preserve"> Šajā apakšpunktā verificētājam tiek noteikta at</w:t>
            </w:r>
            <w:r>
              <w:t>bildība par emisiju un ietekmes noteikšanas procedūrām un ziņošanu, kas neatbilst Regulas (ES) Nr. 2018/2067 regulējumam. Saskaņā ar Regulu verificētāja pienākums ir veikt operatora sagatavoto datu un ziņojumu verifikāciju, savukārt atbildība par emisiju noteikšanu un ziņošanu gulstas uz operatoru.</w:t>
            </w:r>
            <w:r>
              <w:br/>
              <w:t>Noteikumu 26.5.punkts:</w:t>
            </w:r>
            <w:r>
              <w:br/>
            </w:r>
            <w:proofErr w:type="spellStart"/>
            <w:r>
              <w:t>StartFragment</w:t>
            </w:r>
            <w:proofErr w:type="spellEnd"/>
            <w:r>
              <w:t xml:space="preserve"> Šajā apakšpunktā prasība verificētājam pārzināt Eiropas Komisijas izstrādātās vadlīnijas tiek sasaistīta ar to pieejamību Latvijas Nacionālā akreditācijas biroja tīmekļvietnē.</w:t>
            </w:r>
            <w:r>
              <w:t xml:space="preserve"> Šāds formulējums rada tiesisku nenoteiktību, jo verificētāja pienākuma izpilde tiek padarīta atkarīga no LATAK faktiskas rīcības vai tehniskas darbības. Gadījumā, ja vadlīnijas netiek publicētas vai īslaicīgi nav </w:t>
            </w:r>
            <w:r>
              <w:lastRenderedPageBreak/>
              <w:t>pieejamas LATAK tīmekļvietnē, var rasties interpretācija, ka attiecīgās vadlīnijas nav piemērojamas vai nav jāievēro. Ieteicams formulējumu precizēt, nosakot verificētāja pienākumu pārzināt un piemērot Eiropas Komisijas izstrādātās vadlīnijas neatkarīgi no to publicēšanas konkrētā tīmekļvietnē. Tu</w:t>
            </w:r>
            <w:r>
              <w:t>rklāt vēršam uzmanību, ka šajā punktā ir norādīta nekorekta LATAK tīmekļa vietnes adrese. </w:t>
            </w:r>
            <w:proofErr w:type="spellStart"/>
            <w:r>
              <w:t>StartFragment</w:t>
            </w:r>
            <w:proofErr w:type="spellEnd"/>
            <w:r>
              <w:t xml:space="preserve"> Visas vadlīnijas dotas Eiropas Komisijas mājas lapā attiecīgajā sadaļā. https://climate.ec.europa.eu/eu-action/carbon-markets/eu-emissions-trading-system-eu-ets/monitoring-reporting-and-verification_enEndFragment </w:t>
            </w:r>
            <w:r>
              <w:br/>
              <w:t>Noteikumu 34.punkts:</w:t>
            </w:r>
            <w:r>
              <w:br/>
            </w:r>
            <w:proofErr w:type="spellStart"/>
            <w:r>
              <w:t>StartFragment</w:t>
            </w:r>
            <w:proofErr w:type="spellEnd"/>
            <w:r>
              <w:t xml:space="preserve"> Šajā punktā noteikts, ka verificētājs verifikācijas ziņojumu sagatavo, izmantojot Latvijas Nacionālā akreditācijas biroja tīmekļvietnē pieejamo verifikācijas z</w:t>
            </w:r>
            <w:r>
              <w:t xml:space="preserve">iņojuma </w:t>
            </w:r>
            <w:r>
              <w:lastRenderedPageBreak/>
              <w:t>veidlapu. Šāds formulējums rada tiesisku nenoteiktību, jo verificētāja pienākums tiek padarīts atkarīgs no LATAK faktiskas rīcības vai tehniskas pieejamības. Gadījumā, ja veidlapa tīmekļvietnē nav pieejama, tiek grozīta vai aizstāta, var rasties interpretācijas risks par pienākuma izpildes iespējamību vai apjomu. Ieteicams normatīvajā aktā noteikt prasības verifikācijas ziņojuma saturam vai atsaukties uz Regulas (ES) Nr. 2018/2066 prasībām, nevis sasaistīt pienākumu ar konkrētas veidlapas pieejamību</w:t>
            </w:r>
            <w:r>
              <w:t xml:space="preserve"> LATAK </w:t>
            </w:r>
            <w:proofErr w:type="spellStart"/>
            <w:r>
              <w:t>tīmekļvietnē.EndFragment</w:t>
            </w:r>
            <w:proofErr w:type="spellEnd"/>
            <w:r>
              <w:t xml:space="preserve"> </w:t>
            </w:r>
            <w:r>
              <w:br/>
              <w:t>Noteikumu 37.punkts:</w:t>
            </w:r>
            <w:r>
              <w:br/>
            </w:r>
            <w:proofErr w:type="spellStart"/>
            <w:r>
              <w:t>StartFragment</w:t>
            </w:r>
            <w:proofErr w:type="spellEnd"/>
            <w:r>
              <w:t xml:space="preserve"> Ministru kabineta 27.02.2018. noteikumu Nr.111 "Valsts aģentūras "Latvijas Nacionālais akreditācijas birojs" nolikums" 3.punkts jau nosaka, ka valsts aģentūra "Latvijas Nacionālais akreditācijas birojs" īsteno nacionālās akreditācijas institūcijas funkcijas, tādēļ šajos </w:t>
            </w:r>
            <w:r>
              <w:lastRenderedPageBreak/>
              <w:t>noteikumos to noteikt ir lieki</w:t>
            </w:r>
            <w:r>
              <w:br/>
            </w:r>
            <w:proofErr w:type="spellStart"/>
            <w:r>
              <w:t>EndFragment</w:t>
            </w:r>
            <w:proofErr w:type="spellEnd"/>
            <w:r>
              <w:t xml:space="preserve"> Noteikumu 38.1. un 38.2. un 38.3.punkts:</w:t>
            </w:r>
            <w:r>
              <w:br/>
            </w:r>
            <w:proofErr w:type="spellStart"/>
            <w:r>
              <w:t>StartFragment</w:t>
            </w:r>
            <w:proofErr w:type="spellEnd"/>
            <w:r>
              <w:t xml:space="preserve"> Akreditācijas kārtība, tostarp LATAK pienākumi, jau ir noteikti Ministru ka</w:t>
            </w:r>
            <w:r>
              <w:t>bineta noteikumos Nr. 754, kas ir speciālais nacionālais regulējums akreditācijas jomā. Līdz ar to šajos punktos ietvertais regulējums ir lieks un rada paralēlu normatīvo regulējumu akreditācijas procesam.</w:t>
            </w:r>
            <w:r>
              <w:br/>
              <w:t>Noteikumu 39.punkts un tā apakšpunkti:</w:t>
            </w:r>
            <w:r>
              <w:br/>
            </w:r>
            <w:proofErr w:type="spellStart"/>
            <w:r>
              <w:t>StartFragment</w:t>
            </w:r>
            <w:proofErr w:type="spellEnd"/>
            <w:r>
              <w:t xml:space="preserve"> Akreditācijas institūcijas pilnvaras un lēmumu pieņemšanas kārtība par akreditācijas apturēšanu, atcelšanu, akreditācijas jomas samazināšanu un atjaunošanu jau ir noteikta Regulas (EK) Nr. 765/2008 ietvaros, Regulas (ES) Nr. 2018/2067 54. pantā, kā arī </w:t>
            </w:r>
            <w:r>
              <w:t xml:space="preserve">Ministru kabineta noteikumos Nr. 754, kas kopumā veido pilnīgu un horizontālu akreditācijas regulējumu. Līdz ar to 39. punktā </w:t>
            </w:r>
            <w:r>
              <w:lastRenderedPageBreak/>
              <w:t>ietvertais regulējums ir lieks, rada paralēlu nozares līmeņa akreditācijas regulējumu. Ieteicams 39. punktu svītrot pilnībā.</w:t>
            </w:r>
            <w:r>
              <w:br/>
            </w:r>
            <w:proofErr w:type="spellStart"/>
            <w:r>
              <w:t>EndFragment</w:t>
            </w:r>
            <w:proofErr w:type="spellEnd"/>
            <w:r>
              <w:t xml:space="preserve"> Noteikumu 39.3.punkts:</w:t>
            </w:r>
            <w:r>
              <w:br/>
            </w:r>
            <w:proofErr w:type="spellStart"/>
            <w:r>
              <w:t>StartFragment</w:t>
            </w:r>
            <w:proofErr w:type="spellEnd"/>
            <w:r>
              <w:t xml:space="preserve"> Normatīvie akti, t.sk., Administratīvā procesa likums un paziņošanas likums jau šobrīd regulē kā tiek paziņoti lēmumi (administratīvie akti) adresātam. Tāpat ari MM noteikumi Nr.754 nosaka kādu informāciju par pi</w:t>
            </w:r>
            <w:r>
              <w:t>eņemtajiem akreditācijas lēmumiem tiek publicēta. Tādējādi šis punkts ir lieks</w:t>
            </w:r>
            <w:r>
              <w:br/>
            </w:r>
            <w:proofErr w:type="spellStart"/>
            <w:r>
              <w:t>EndFragment</w:t>
            </w:r>
            <w:proofErr w:type="spellEnd"/>
            <w:r>
              <w:t xml:space="preserve"> Noteikumu 40.punkts:</w:t>
            </w:r>
            <w:r>
              <w:br/>
            </w:r>
            <w:proofErr w:type="spellStart"/>
            <w:r>
              <w:t>StartFragment</w:t>
            </w:r>
            <w:proofErr w:type="spellEnd"/>
            <w:r>
              <w:t xml:space="preserve"> Ņemot vēra, ka regula ir tieši piemērojama, tad šis punkts ir lieks.</w:t>
            </w:r>
            <w:r>
              <w:br/>
            </w:r>
          </w:p>
        </w:tc>
        <w:tc>
          <w:tcPr>
            <w:tcW w:w="1650" w:type="dxa"/>
            <w:shd w:val="clear" w:color="auto" w:fill="FFFFFF"/>
            <w:noWrap/>
            <w:tcMar>
              <w:top w:w="75" w:type="dxa"/>
              <w:left w:w="75" w:type="dxa"/>
              <w:bottom w:w="75" w:type="dxa"/>
              <w:right w:w="75" w:type="dxa"/>
            </w:tcMar>
            <w:vAlign w:val="center"/>
          </w:tcPr>
          <w:p w14:paraId="044AFF40" w14:textId="678919FC" w:rsidR="004A2B38" w:rsidRDefault="0035114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4C2EFF69" w14:textId="6D652E48" w:rsidR="004A2B38" w:rsidRDefault="00351140">
            <w:pPr>
              <w:jc w:val="left"/>
            </w:pPr>
            <w:r>
              <w:t>26.5., 37., 38., 39. un 40. punkti dzēsti, 26.1., 26.3. un 34. punktam mainīta redakcija.</w:t>
            </w:r>
          </w:p>
        </w:tc>
      </w:tr>
    </w:tbl>
    <w:p w14:paraId="74DF241B" w14:textId="77777777" w:rsidR="004A2B38" w:rsidRDefault="004A2B38"/>
    <w:tbl>
      <w:tblPr>
        <w:tblStyle w:val="a"/>
        <w:tblW w:w="14567" w:type="dxa"/>
        <w:tblLayout w:type="fixed"/>
        <w:tblLook w:val="0600" w:firstRow="0" w:lastRow="0" w:firstColumn="0" w:lastColumn="0" w:noHBand="1" w:noVBand="1"/>
      </w:tblPr>
      <w:tblGrid>
        <w:gridCol w:w="4855"/>
        <w:gridCol w:w="4856"/>
        <w:gridCol w:w="4856"/>
      </w:tblGrid>
      <w:tr w:rsidR="004A2B38" w14:paraId="6E5283DC" w14:textId="77777777">
        <w:tc>
          <w:tcPr>
            <w:tcW w:w="4855" w:type="dxa"/>
            <w:shd w:val="clear" w:color="auto" w:fill="FFFFFF"/>
            <w:noWrap/>
            <w:tcMar>
              <w:top w:w="75" w:type="dxa"/>
              <w:left w:w="75" w:type="dxa"/>
              <w:bottom w:w="75" w:type="dxa"/>
              <w:right w:w="75" w:type="dxa"/>
            </w:tcMar>
            <w:vAlign w:val="center"/>
          </w:tcPr>
          <w:p w14:paraId="2F792016" w14:textId="77777777" w:rsidR="004A2B38" w:rsidRDefault="00C6492E">
            <w:pPr>
              <w:jc w:val="left"/>
            </w:pPr>
            <w:r>
              <w:t>Datums**</w:t>
            </w:r>
          </w:p>
        </w:tc>
        <w:tc>
          <w:tcPr>
            <w:tcW w:w="4856" w:type="dxa"/>
            <w:shd w:val="clear" w:color="auto" w:fill="FFFFFF"/>
            <w:noWrap/>
            <w:tcMar>
              <w:top w:w="75" w:type="dxa"/>
              <w:left w:w="75" w:type="dxa"/>
              <w:bottom w:w="75" w:type="dxa"/>
              <w:right w:w="75" w:type="dxa"/>
            </w:tcMar>
            <w:vAlign w:val="center"/>
          </w:tcPr>
          <w:p w14:paraId="54D0C4A2" w14:textId="77777777" w:rsidR="004A2B38" w:rsidRDefault="004A2B38">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814501E" w14:textId="77777777" w:rsidR="004A2B38" w:rsidRDefault="004A2B38"/>
        </w:tc>
      </w:tr>
      <w:tr w:rsidR="004A2B38" w14:paraId="67534772" w14:textId="77777777">
        <w:tc>
          <w:tcPr>
            <w:tcW w:w="4855" w:type="dxa"/>
            <w:shd w:val="clear" w:color="auto" w:fill="FFFFFF"/>
            <w:noWrap/>
            <w:tcMar>
              <w:top w:w="75" w:type="dxa"/>
              <w:left w:w="75" w:type="dxa"/>
              <w:bottom w:w="75" w:type="dxa"/>
              <w:right w:w="75" w:type="dxa"/>
            </w:tcMar>
            <w:vAlign w:val="center"/>
          </w:tcPr>
          <w:p w14:paraId="6E997D83" w14:textId="77777777" w:rsidR="004A2B38" w:rsidRDefault="004A2B38"/>
        </w:tc>
        <w:tc>
          <w:tcPr>
            <w:tcW w:w="4856" w:type="dxa"/>
            <w:shd w:val="clear" w:color="auto" w:fill="FFFFFF"/>
            <w:noWrap/>
            <w:tcMar>
              <w:top w:w="75" w:type="dxa"/>
              <w:left w:w="75" w:type="dxa"/>
              <w:bottom w:w="75" w:type="dxa"/>
              <w:right w:w="75" w:type="dxa"/>
            </w:tcMar>
            <w:vAlign w:val="center"/>
          </w:tcPr>
          <w:p w14:paraId="11710EB1" w14:textId="77777777" w:rsidR="004A2B38" w:rsidRDefault="00C6492E">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394D58C5" w14:textId="77777777" w:rsidR="004A2B38" w:rsidRDefault="004A2B38"/>
        </w:tc>
      </w:tr>
      <w:tr w:rsidR="004A2B38" w14:paraId="60B65C9F" w14:textId="77777777">
        <w:tc>
          <w:tcPr>
            <w:tcW w:w="4855" w:type="dxa"/>
            <w:shd w:val="clear" w:color="auto" w:fill="FFFFFF"/>
            <w:noWrap/>
            <w:tcMar>
              <w:top w:w="75" w:type="dxa"/>
              <w:left w:w="75" w:type="dxa"/>
              <w:bottom w:w="75" w:type="dxa"/>
              <w:right w:w="75" w:type="dxa"/>
            </w:tcMar>
            <w:vAlign w:val="center"/>
          </w:tcPr>
          <w:p w14:paraId="00E8BE01" w14:textId="77777777" w:rsidR="004A2B38" w:rsidRDefault="00C6492E">
            <w:pPr>
              <w:jc w:val="left"/>
            </w:pPr>
            <w:r>
              <w:lastRenderedPageBreak/>
              <w:t>Atbildīgā persona</w:t>
            </w:r>
          </w:p>
        </w:tc>
        <w:tc>
          <w:tcPr>
            <w:tcW w:w="4856" w:type="dxa"/>
            <w:shd w:val="clear" w:color="auto" w:fill="FFFFFF"/>
            <w:noWrap/>
            <w:tcMar>
              <w:top w:w="75" w:type="dxa"/>
              <w:left w:w="75" w:type="dxa"/>
              <w:bottom w:w="75" w:type="dxa"/>
              <w:right w:w="75" w:type="dxa"/>
            </w:tcMar>
            <w:vAlign w:val="center"/>
          </w:tcPr>
          <w:p w14:paraId="7BCDDAD1" w14:textId="77777777" w:rsidR="004A2B38" w:rsidRDefault="004A2B38">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23507572" w14:textId="77777777" w:rsidR="004A2B38" w:rsidRDefault="004A2B38"/>
        </w:tc>
      </w:tr>
      <w:tr w:rsidR="004A2B38" w14:paraId="7473B016" w14:textId="77777777">
        <w:tc>
          <w:tcPr>
            <w:tcW w:w="4855" w:type="dxa"/>
            <w:shd w:val="clear" w:color="auto" w:fill="FFFFFF"/>
            <w:noWrap/>
            <w:tcMar>
              <w:top w:w="75" w:type="dxa"/>
              <w:left w:w="75" w:type="dxa"/>
              <w:bottom w:w="75" w:type="dxa"/>
              <w:right w:w="75" w:type="dxa"/>
            </w:tcMar>
            <w:vAlign w:val="center"/>
          </w:tcPr>
          <w:p w14:paraId="4F0C212B" w14:textId="77777777" w:rsidR="004A2B38" w:rsidRDefault="004A2B38"/>
        </w:tc>
        <w:tc>
          <w:tcPr>
            <w:tcW w:w="4856" w:type="dxa"/>
            <w:shd w:val="clear" w:color="auto" w:fill="FFFFFF"/>
            <w:noWrap/>
            <w:tcMar>
              <w:top w:w="75" w:type="dxa"/>
              <w:left w:w="75" w:type="dxa"/>
              <w:bottom w:w="75" w:type="dxa"/>
              <w:right w:w="75" w:type="dxa"/>
            </w:tcMar>
            <w:vAlign w:val="center"/>
          </w:tcPr>
          <w:p w14:paraId="1F614D8F" w14:textId="77777777" w:rsidR="004A2B38" w:rsidRDefault="00C6492E">
            <w:pPr>
              <w:jc w:val="center"/>
            </w:pPr>
            <w:r>
              <w:t>(vārds, uzvārds, paraksts**)</w:t>
            </w:r>
          </w:p>
        </w:tc>
        <w:tc>
          <w:tcPr>
            <w:tcW w:w="4856" w:type="dxa"/>
            <w:shd w:val="clear" w:color="auto" w:fill="FFFFFF"/>
            <w:noWrap/>
            <w:tcMar>
              <w:top w:w="75" w:type="dxa"/>
              <w:left w:w="75" w:type="dxa"/>
              <w:bottom w:w="75" w:type="dxa"/>
              <w:right w:w="75" w:type="dxa"/>
            </w:tcMar>
            <w:vAlign w:val="center"/>
          </w:tcPr>
          <w:p w14:paraId="72E91FBE" w14:textId="77777777" w:rsidR="004A2B38" w:rsidRDefault="004A2B38"/>
        </w:tc>
      </w:tr>
    </w:tbl>
    <w:p w14:paraId="153723C5" w14:textId="77777777" w:rsidR="004A2B38" w:rsidRDefault="004A2B38"/>
    <w:p w14:paraId="7F640611" w14:textId="77777777" w:rsidR="004A2B38" w:rsidRDefault="00C6492E">
      <w:r>
        <w:t>Piezīmes.</w:t>
      </w:r>
    </w:p>
    <w:p w14:paraId="3B49C1A6" w14:textId="77777777" w:rsidR="004A2B38" w:rsidRDefault="00C6492E">
      <w:r>
        <w:t>* Iesniedzējs (fiziskai personai – vārds, uzvārds, juridiskai personai – nosaukums) var tikt publiskots, ja viņš tam ir piekritis. Ja attiecināms, iesniedzējs norāda interešu pārstāvja reģistrācijas numuru.</w:t>
      </w:r>
    </w:p>
    <w:p w14:paraId="1796C05E" w14:textId="77777777" w:rsidR="004A2B38" w:rsidRDefault="00C6492E">
      <w:r>
        <w:t>** Dokumenta rekvizītus "datums" un "paraksts" neaizpilda, ja elektroniskais dokuments ir sagatavots atbilstoši normatīvajiem aktiem par elektronisko dokumentu noformēšanu.</w:t>
      </w:r>
    </w:p>
    <w:sectPr w:rsidR="004A2B38">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388A6" w14:textId="77777777" w:rsidR="00C6492E" w:rsidRDefault="00C6492E">
      <w:r>
        <w:separator/>
      </w:r>
    </w:p>
  </w:endnote>
  <w:endnote w:type="continuationSeparator" w:id="0">
    <w:p w14:paraId="219C8D9E" w14:textId="77777777" w:rsidR="00C6492E" w:rsidRDefault="00C64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8658" w14:textId="77777777" w:rsidR="004A2B38" w:rsidRDefault="00C6492E">
    <w:pPr>
      <w:jc w:val="right"/>
    </w:pPr>
    <w:r>
      <w:rPr>
        <w:sz w:val="24"/>
        <w:szCs w:val="24"/>
      </w:rPr>
      <w:fldChar w:fldCharType="begin"/>
    </w:r>
    <w:r>
      <w:rPr>
        <w:sz w:val="24"/>
        <w:szCs w:val="24"/>
      </w:rPr>
      <w:instrText>PAGE</w:instrText>
    </w:r>
    <w:r>
      <w:rPr>
        <w:sz w:val="24"/>
        <w:szCs w:val="24"/>
      </w:rPr>
      <w:fldChar w:fldCharType="separate"/>
    </w:r>
    <w:r w:rsidR="006218EB">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1106" w14:textId="77777777" w:rsidR="00130601" w:rsidRDefault="00C6492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771D5" w14:textId="77777777" w:rsidR="00C6492E" w:rsidRDefault="00C6492E">
      <w:r>
        <w:separator/>
      </w:r>
    </w:p>
  </w:footnote>
  <w:footnote w:type="continuationSeparator" w:id="0">
    <w:p w14:paraId="290808D0" w14:textId="77777777" w:rsidR="00C6492E" w:rsidRDefault="00C64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F22A" w14:textId="77777777" w:rsidR="004A2B38" w:rsidRDefault="00C6492E">
    <w:pPr>
      <w:pStyle w:val="Header"/>
      <w:contextualSpacing w:val="0"/>
    </w:pPr>
    <w:r>
      <w:t>Viedokļu pārskats 24-TA-904</w:t>
    </w:r>
    <w:r>
      <w:br/>
      <w:t>Izdrukāts 12.02.2026. 15.50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CB09" w14:textId="77777777" w:rsidR="004A2B38" w:rsidRDefault="00C6492E">
    <w:pPr>
      <w:pStyle w:val="Header"/>
      <w:contextualSpacing w:val="0"/>
    </w:pPr>
    <w:r>
      <w:t>Viedokļu pārskats 24-TA-904</w:t>
    </w:r>
    <w:r>
      <w:br/>
      <w:t>Izdrukāts 12.02.2026. 15.50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A2B38"/>
    <w:rsid w:val="00130601"/>
    <w:rsid w:val="00351140"/>
    <w:rsid w:val="004A2B38"/>
    <w:rsid w:val="006218EB"/>
    <w:rsid w:val="008E6FF1"/>
    <w:rsid w:val="009579B1"/>
    <w:rsid w:val="00C6492E"/>
    <w:rsid w:val="00CE4AAC"/>
    <w:rsid w:val="00F233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A6731"/>
  <w15:docId w15:val="{92B54D5D-7464-45AC-A3B9-96BC71D41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664</Words>
  <Characters>4946</Characters>
  <Application>Microsoft Office Word</Application>
  <DocSecurity>0</DocSecurity>
  <Lines>206</Lines>
  <Paragraphs>20</Paragraphs>
  <ScaleCrop>false</ScaleCrop>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viedoklu_parskats_24-TA-904.docx</dc:title>
  <cp:lastModifiedBy>Ralfs Leimans</cp:lastModifiedBy>
  <cp:revision>4</cp:revision>
  <dcterms:created xsi:type="dcterms:W3CDTF">2026-02-12T14:13:00Z</dcterms:created>
  <dcterms:modified xsi:type="dcterms:W3CDTF">2026-03-23T12:19:00Z</dcterms:modified>
</cp:coreProperties>
</file>