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A32D3D" w14:textId="7F23DE81" w:rsidR="006F33A7" w:rsidRDefault="00F81B7A">
      <w:pPr>
        <w:spacing w:after="240"/>
        <w:jc w:val="center"/>
        <w:rPr>
          <w:b/>
        </w:rPr>
      </w:pPr>
      <w:r>
        <w:rPr>
          <w:b/>
        </w:rPr>
        <w:t>"Publiskās apspriešanas laikā 22.01.2025. - 05.02.2025. saņemto viedokļu, priekšlikumu un iebildumu apkopojums par Grozījumi Administratīvās atbildības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F33A7" w14:paraId="5B1CED66" w14:textId="77777777">
        <w:tc>
          <w:tcPr>
            <w:tcW w:w="750" w:type="dxa"/>
            <w:shd w:val="clear" w:color="auto" w:fill="FFFFFF"/>
            <w:noWrap/>
            <w:tcMar>
              <w:top w:w="75" w:type="dxa"/>
              <w:left w:w="75" w:type="dxa"/>
              <w:bottom w:w="75" w:type="dxa"/>
              <w:right w:w="75" w:type="dxa"/>
            </w:tcMar>
            <w:vAlign w:val="center"/>
          </w:tcPr>
          <w:p w14:paraId="400B7785" w14:textId="77777777" w:rsidR="006F33A7"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2F4F48C" w14:textId="77777777" w:rsidR="006F33A7"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A56606C" w14:textId="77777777" w:rsidR="006F33A7"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EBDE69A" w14:textId="77777777" w:rsidR="006F33A7"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64473D8" w14:textId="77777777" w:rsidR="006F33A7" w:rsidRDefault="00000000">
            <w:pPr>
              <w:jc w:val="center"/>
            </w:pPr>
            <w:r>
              <w:rPr>
                <w:b/>
              </w:rPr>
              <w:t>Skaidrojums, kādā veidā viedoklis / priekšlikums / iebildums ir ņemts vērā vai ņemts vērā daļēji, vai pamatojums, ja viedoklis / priekšlikums / iebildums nav ņemts vērā</w:t>
            </w:r>
          </w:p>
        </w:tc>
      </w:tr>
      <w:tr w:rsidR="006F33A7" w14:paraId="50C3C21F" w14:textId="77777777">
        <w:tc>
          <w:tcPr>
            <w:tcW w:w="750" w:type="dxa"/>
            <w:shd w:val="clear" w:color="auto" w:fill="FFFFFF"/>
            <w:noWrap/>
            <w:tcMar>
              <w:top w:w="75" w:type="dxa"/>
              <w:left w:w="75" w:type="dxa"/>
              <w:bottom w:w="75" w:type="dxa"/>
              <w:right w:w="75" w:type="dxa"/>
            </w:tcMar>
            <w:vAlign w:val="center"/>
          </w:tcPr>
          <w:p w14:paraId="7FCC4A47" w14:textId="77777777" w:rsidR="006F33A7" w:rsidRDefault="00000000">
            <w:pPr>
              <w:jc w:val="center"/>
            </w:pPr>
            <w:r>
              <w:t>1.</w:t>
            </w:r>
          </w:p>
        </w:tc>
        <w:tc>
          <w:tcPr>
            <w:tcW w:w="4055" w:type="dxa"/>
            <w:shd w:val="clear" w:color="auto" w:fill="FFFFFF"/>
            <w:noWrap/>
            <w:tcMar>
              <w:top w:w="75" w:type="dxa"/>
              <w:left w:w="75" w:type="dxa"/>
              <w:bottom w:w="75" w:type="dxa"/>
              <w:right w:w="75" w:type="dxa"/>
            </w:tcMar>
            <w:vAlign w:val="center"/>
          </w:tcPr>
          <w:p w14:paraId="5B4A7908" w14:textId="77777777" w:rsidR="006F33A7" w:rsidRDefault="00000000">
            <w:pPr>
              <w:jc w:val="left"/>
            </w:pPr>
            <w:proofErr w:type="spellStart"/>
            <w:r>
              <w:t>r.a</w:t>
            </w:r>
            <w:proofErr w:type="spellEnd"/>
            <w:r>
              <w:t>. "Siltumnīca"</w:t>
            </w:r>
          </w:p>
        </w:tc>
        <w:tc>
          <w:tcPr>
            <w:tcW w:w="4056" w:type="dxa"/>
            <w:shd w:val="clear" w:color="auto" w:fill="FFFFFF"/>
            <w:noWrap/>
            <w:tcMar>
              <w:top w:w="75" w:type="dxa"/>
              <w:left w:w="75" w:type="dxa"/>
              <w:bottom w:w="75" w:type="dxa"/>
              <w:right w:w="75" w:type="dxa"/>
            </w:tcMar>
            <w:vAlign w:val="center"/>
          </w:tcPr>
          <w:p w14:paraId="53120FAE" w14:textId="77777777" w:rsidR="006F33A7" w:rsidRDefault="00000000">
            <w:pPr>
              <w:jc w:val="left"/>
            </w:pPr>
            <w:r>
              <w:t>Par projektu Nr.24-TA-3257 “Grozījumi Administratīvās atbildības likumā” tiek izteikti šādi iebildumi.</w:t>
            </w:r>
            <w:r>
              <w:br/>
            </w:r>
            <w:r>
              <w:br/>
              <w:t>1. Šobrīd likuma 16. panta sestā daļa nosaka skaidri noteiktu un ierobežotu izņēmumu no vispārējās kārtības. Tas dod iespēju nozares tiesību aktā noteikt lielāku naudas sodu, nekā to paredz Administratīvās atbildības likuma 16. panta ceturtā daļa.</w:t>
            </w:r>
            <w:r>
              <w:br/>
              <w:t xml:space="preserve">Tas pilnībā atbilst Administratīvās atbildības likuma 2.panta trešajai daļai, ciktāl tas noteic, kur </w:t>
            </w:r>
            <w:r>
              <w:lastRenderedPageBreak/>
              <w:t>nosakāmi sodi un līdz ar to arī to apmērs, proti, nozares tiesību aktos.</w:t>
            </w:r>
            <w:r>
              <w:br/>
            </w:r>
            <w:r>
              <w:br/>
              <w:t>2. Izslēdzot likuma 16. panta sestā daļu un to aizstājot ar 2. panta piektās daļas papildināto redakciju, izņēmums no vispārējās kārtības tiek paplašināts neprognozējami plaši un pretēji 2.pantā izveidotajai sistēmai. 2. panta piektās daļas papildināto redakcija nonāk pretrunā 2. panta otrās daļas regulējumam.</w:t>
            </w:r>
            <w:r>
              <w:br/>
            </w:r>
            <w:r>
              <w:br/>
              <w:t>3. Administratīvās atbildības likuma 2. panta otrajā daļā tiek noteikts viss tas, kas atrodas Administratīvās atbildības likuma tvērumā un nav ietverams nozaru tiesību aktos. Nozaru tiesību aktu tvērums ir noteikts Administratīvās atbildības likuma 2. panta trešajā daļā.</w:t>
            </w:r>
            <w:r>
              <w:br/>
              <w:t xml:space="preserve">Tomēr, likumprojekta anotācijā tiek norādīts, ka “nozares likumā varēs iekļaut arī no AAL atšķirīgu </w:t>
            </w:r>
            <w:r>
              <w:lastRenderedPageBreak/>
              <w:t>regulējumu (piemēram, atšķirīgu soda veidu vai soda apmēru)”, kas nonāk pretrunā ar iepriekš minēto sadalījumu, jo soda veidus, atbilstoši Administratīvās atbildības likuma 2. panta otrajā daļā ietvertajam regulējumam, nosaka tikai Administratīvās atbildības likumā.</w:t>
            </w:r>
            <w:r>
              <w:br/>
            </w:r>
            <w:r>
              <w:br/>
              <w:t>Ņemot vērā minēto, likumprojekts būtu atbalstāms tikai gadījumā, ja likumprojekta anotācijā tiktu veikti labojumi, lai anotācijā ietvertais skaidrojums atbilstu likumprojekta tekstam un vairs  neparedzētu iespēju, balstoties uz 2. panta piektās daļas piedāvāto redakciju, nozares tiesību aktos noteikt citus soda veidus, kādi ir paredzēti Administratīvās atbildības likumā.</w:t>
            </w:r>
            <w:r>
              <w:br/>
            </w:r>
          </w:p>
        </w:tc>
        <w:tc>
          <w:tcPr>
            <w:tcW w:w="1650" w:type="dxa"/>
            <w:shd w:val="clear" w:color="auto" w:fill="FFFFFF"/>
            <w:noWrap/>
            <w:tcMar>
              <w:top w:w="75" w:type="dxa"/>
              <w:left w:w="75" w:type="dxa"/>
              <w:bottom w:w="75" w:type="dxa"/>
              <w:right w:w="75" w:type="dxa"/>
            </w:tcMar>
            <w:vAlign w:val="center"/>
          </w:tcPr>
          <w:p w14:paraId="76F07600" w14:textId="2AC2B2AD" w:rsidR="006F33A7" w:rsidRDefault="001F1710">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C8219CB" w14:textId="5C871878" w:rsidR="006F33A7" w:rsidRDefault="00887F80">
            <w:pPr>
              <w:jc w:val="left"/>
            </w:pPr>
            <w:r>
              <w:t xml:space="preserve">1. Eiropas Savienības tiesību sistēmā administratīvie sodi ir noteikti dažādos veidos. </w:t>
            </w:r>
            <w:r w:rsidR="00C4148D">
              <w:t>R</w:t>
            </w:r>
            <w:r>
              <w:t>etāk sastopami gadījumi, kad regulā ir noteikts tieši piemērojams administratīvo sodu regulējums. Tomēr salīdzinoši biežāk regulās ietver pienākumu dalībvalstīm savos likumos ietvert vairāk vai mazāk detalizētu administratīvo sodu regulējumu. Šāds pienākums var izrietēt arī no direktīvām.</w:t>
            </w:r>
          </w:p>
          <w:p w14:paraId="2FC247C4" w14:textId="77777777" w:rsidR="00887F80" w:rsidRDefault="00887F80">
            <w:pPr>
              <w:jc w:val="left"/>
            </w:pPr>
          </w:p>
          <w:p w14:paraId="026732FA" w14:textId="43ADE2E4" w:rsidR="00887F80" w:rsidRDefault="00887F80">
            <w:pPr>
              <w:jc w:val="left"/>
            </w:pPr>
            <w:r>
              <w:t>Sodu veidi, to apmērs, apmēra noteikšanas regulējums vai tamlīdzīgi</w:t>
            </w:r>
            <w:r w:rsidR="00C4148D">
              <w:t xml:space="preserve"> elementi</w:t>
            </w:r>
            <w:r>
              <w:t xml:space="preserve"> ne vienmēr pilnībā atbilst dalībvalstī </w:t>
            </w:r>
            <w:r>
              <w:lastRenderedPageBreak/>
              <w:t xml:space="preserve">pastāvošajam sodu sistēmas regulējumam. Tomēr jebkurā gadījumā Latvijai ir pienākums šādus sodus ieviest un piemērot savā tiesību sistēmā. </w:t>
            </w:r>
          </w:p>
          <w:p w14:paraId="50F36878" w14:textId="77777777" w:rsidR="00887F80" w:rsidRDefault="00887F80">
            <w:pPr>
              <w:jc w:val="left"/>
            </w:pPr>
          </w:p>
          <w:p w14:paraId="676873BD" w14:textId="091F7327" w:rsidR="00887F80" w:rsidRDefault="00887F80">
            <w:pPr>
              <w:jc w:val="left"/>
            </w:pPr>
            <w:r>
              <w:t>Nav attaisnojuma atšķirīgai pieejai atkarībā no tā vai Eiropas Savienības administratīvo sodu regulējums ir ietverts regulā un ir tieši piemērojams, vai arī sodu regulējums ir jāietver Latvijas likumos.</w:t>
            </w:r>
            <w:r w:rsidR="00D45886">
              <w:t xml:space="preserve"> </w:t>
            </w:r>
          </w:p>
          <w:p w14:paraId="604773AC" w14:textId="77777777" w:rsidR="00D45886" w:rsidRDefault="00D45886">
            <w:pPr>
              <w:jc w:val="left"/>
            </w:pPr>
          </w:p>
          <w:p w14:paraId="5B0C73DD" w14:textId="460C4BE5" w:rsidR="00D45886" w:rsidRDefault="00D45886">
            <w:pPr>
              <w:jc w:val="left"/>
            </w:pPr>
            <w:r>
              <w:t xml:space="preserve">2. Ciktāl tas attiecas uz sodoša (krimināltiesiska) rakstura administratīvajām sankcijām jeb administratīvajiem sodiem, Latvijā to piemērošanai atbilstošais procesa veids ir administratīvā pārkāpuma process. Administratīvās atbildības likumā ir ietverts pienācīgs procesa regulējums, tostarp noteiktas nepieciešamās procesuālās garantijas pie administratīvās atbildības saucamajai personai un </w:t>
            </w:r>
            <w:r>
              <w:lastRenderedPageBreak/>
              <w:t>citām procesā iesaistītajām personām.</w:t>
            </w:r>
          </w:p>
          <w:p w14:paraId="035F092B" w14:textId="77777777" w:rsidR="00D45886" w:rsidRDefault="00D45886">
            <w:pPr>
              <w:jc w:val="left"/>
            </w:pPr>
          </w:p>
          <w:p w14:paraId="4F8F49B3" w14:textId="2370EF57" w:rsidR="00D45886" w:rsidRDefault="00D45886">
            <w:pPr>
              <w:jc w:val="left"/>
            </w:pPr>
            <w:r>
              <w:t xml:space="preserve">3. Eiropas Savienības tiesību aktos administratīvās sankcijas (sodi) parasti izpaužas kā dažāda veida mantiska rakstura sankcijas vai tiesību ierobežojumi. Grūti iedomāties iespējamu soda veidu, kas būtu fundamentāli atšķirīgs no Latvijā pazīstamā naudas soda, tiesību atņemšanas vai tiesību izmantošanas aizlieguma. </w:t>
            </w:r>
          </w:p>
          <w:p w14:paraId="4ED4D66A" w14:textId="77777777" w:rsidR="00D45886" w:rsidRDefault="00D45886">
            <w:pPr>
              <w:jc w:val="left"/>
            </w:pPr>
          </w:p>
          <w:p w14:paraId="488FF79C" w14:textId="77777777" w:rsidR="00B1343C" w:rsidRDefault="00D45886">
            <w:pPr>
              <w:jc w:val="left"/>
            </w:pPr>
            <w:r>
              <w:t>Tomēr, salīdzinot ar Latvijas administratīvo pārkāpumu tiesībām, dažkārt Eiropas Savienības tiesību aktos atšķiras šādu soda veidu apzīmējumi, soda aprēķināšanas (noteikšanas) risinājumi un tamlīdzīgi jautājumi.</w:t>
            </w:r>
          </w:p>
          <w:p w14:paraId="636632F7" w14:textId="77777777" w:rsidR="00B1343C" w:rsidRDefault="00B1343C">
            <w:pPr>
              <w:jc w:val="left"/>
            </w:pPr>
          </w:p>
          <w:p w14:paraId="6BBFE0A7" w14:textId="236EFE0F" w:rsidR="00D45886" w:rsidRDefault="00B1343C">
            <w:pPr>
              <w:jc w:val="left"/>
            </w:pPr>
            <w:r>
              <w:t xml:space="preserve">4. Administratīvās atbildības regulējumam jābūt </w:t>
            </w:r>
            <w:r w:rsidR="00A235DA">
              <w:t>ilgtspējīgam</w:t>
            </w:r>
            <w:r>
              <w:t xml:space="preserve"> un piemērotam, lai nodrošinātu saskaņotību ar Eiropas Savienības un starptautisko tiesību normu </w:t>
            </w:r>
            <w:r>
              <w:lastRenderedPageBreak/>
              <w:t xml:space="preserve">prasībām. </w:t>
            </w:r>
            <w:r w:rsidR="00C4148D">
              <w:t>Pieeja</w:t>
            </w:r>
            <w:r>
              <w:t>, ka ikvienā gadījumā būtu nepieciešams niansēti saskaņot Administratīvās atbildības likumā esošo sodu vai to noteikšanas regulējumu ar, piemēram, kārtējo Eiropas Savienības regulu vai direktīvu, neatbilst šiem pamatprincipiem.</w:t>
            </w:r>
            <w:r w:rsidR="00C4148D">
              <w:t xml:space="preserve"> Turklāt administratīvo sankciju popularitāte Eiropas Savienības tiesībās arvien palielinās. </w:t>
            </w:r>
          </w:p>
          <w:p w14:paraId="72370AB8" w14:textId="77777777" w:rsidR="00C4148D" w:rsidRDefault="00C4148D">
            <w:pPr>
              <w:jc w:val="left"/>
            </w:pPr>
          </w:p>
          <w:p w14:paraId="4184FE25" w14:textId="67C10875" w:rsidR="00C4148D" w:rsidRDefault="00C4148D">
            <w:pPr>
              <w:jc w:val="left"/>
            </w:pPr>
            <w:r>
              <w:t xml:space="preserve">5. Jebkurā gadījumā likumdevējs vērtēs nozares likumā ietvertā regulējuma kvalitāti un tā atbilstību Administratīvās atbildības likuma pamatprincipiem. Projektā paredzētais regulējums neizslēdz iespēju likumdevējam grozīt Administratīvās atbildības likumā esošo sodu regulējumu, ja to atzīst par nepieciešamu.  </w:t>
            </w:r>
          </w:p>
          <w:p w14:paraId="6C1AE1A0" w14:textId="77777777" w:rsidR="00512D62" w:rsidRDefault="00512D62">
            <w:pPr>
              <w:jc w:val="left"/>
            </w:pPr>
          </w:p>
          <w:p w14:paraId="0B5AB498" w14:textId="17127C71" w:rsidR="00512D62" w:rsidRDefault="00512D62">
            <w:pPr>
              <w:jc w:val="left"/>
            </w:pPr>
            <w:r>
              <w:t xml:space="preserve">Tāpat Eiropas Savienības tiesību normas pamatā attiecas uz īpašām profesionālās darbības vai </w:t>
            </w:r>
            <w:r>
              <w:lastRenderedPageBreak/>
              <w:t xml:space="preserve">nodarbinātības jomām. Ja personai ir jāzina šīs jomas </w:t>
            </w:r>
            <w:proofErr w:type="spellStart"/>
            <w:r>
              <w:t>pamatregulējums</w:t>
            </w:r>
            <w:proofErr w:type="spellEnd"/>
            <w:r>
              <w:t>, tad nav pamata apšaubīt, ka tā vienlaikus nebūtu spējīga apzināties, saprast un paredzēt administratīvo pārkāpumu tiesību regulējumu, tostarp izņēmumus no vispārīgā regulējuma, kas attiecas uz attiecīgo jomu.</w:t>
            </w:r>
          </w:p>
          <w:p w14:paraId="2C9D6228" w14:textId="77777777" w:rsidR="00E15F84" w:rsidRDefault="00E15F84">
            <w:pPr>
              <w:jc w:val="left"/>
            </w:pPr>
          </w:p>
          <w:p w14:paraId="12AD86AC" w14:textId="0980B4E6" w:rsidR="00E15F84" w:rsidRDefault="00E15F84">
            <w:pPr>
              <w:jc w:val="left"/>
            </w:pPr>
            <w:r>
              <w:t>6. Likumprojekts ir precizēts, sašaurinot paredzēto izņēmumu un attiecinot to tikai uz naudas soda regulējumu</w:t>
            </w:r>
            <w:r w:rsidR="00372961">
              <w:t xml:space="preserve"> (Administratīvās atbildības likuma 16. pants)</w:t>
            </w:r>
            <w:r>
              <w:t>: "</w:t>
            </w:r>
            <w:r>
              <w:t>Likumā var noteikt no šā panta atšķirīgu naudas soda veidu, apmēru vai apmēra noteikšanas regulējumu, ja tāda nepieciešamība izriet no Latvijas Republikai saistošas Eiropas Savienības vai starptautisko tiesību normas.</w:t>
            </w:r>
            <w:r>
              <w:t>"</w:t>
            </w:r>
          </w:p>
          <w:p w14:paraId="01EBDE82" w14:textId="4C1B5E09" w:rsidR="00887F80" w:rsidRDefault="00887F80">
            <w:pPr>
              <w:jc w:val="left"/>
            </w:pPr>
          </w:p>
        </w:tc>
      </w:tr>
    </w:tbl>
    <w:p w14:paraId="00FAEF24" w14:textId="77777777" w:rsidR="006F33A7" w:rsidRDefault="006F33A7"/>
    <w:tbl>
      <w:tblPr>
        <w:tblStyle w:val="a"/>
        <w:tblW w:w="14567" w:type="dxa"/>
        <w:tblLayout w:type="fixed"/>
        <w:tblLook w:val="0600" w:firstRow="0" w:lastRow="0" w:firstColumn="0" w:lastColumn="0" w:noHBand="1" w:noVBand="1"/>
      </w:tblPr>
      <w:tblGrid>
        <w:gridCol w:w="4855"/>
        <w:gridCol w:w="4856"/>
        <w:gridCol w:w="4856"/>
      </w:tblGrid>
      <w:tr w:rsidR="006F33A7" w14:paraId="0C5F3964" w14:textId="77777777">
        <w:tc>
          <w:tcPr>
            <w:tcW w:w="4855" w:type="dxa"/>
            <w:shd w:val="clear" w:color="auto" w:fill="FFFFFF"/>
            <w:noWrap/>
            <w:tcMar>
              <w:top w:w="75" w:type="dxa"/>
              <w:left w:w="75" w:type="dxa"/>
              <w:bottom w:w="75" w:type="dxa"/>
              <w:right w:w="75" w:type="dxa"/>
            </w:tcMar>
            <w:vAlign w:val="center"/>
          </w:tcPr>
          <w:p w14:paraId="35B4F452" w14:textId="77777777" w:rsidR="006F33A7" w:rsidRDefault="00000000">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7A0DC920" w14:textId="77777777" w:rsidR="006F33A7" w:rsidRDefault="006F33A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DE9C609" w14:textId="77777777" w:rsidR="006F33A7" w:rsidRDefault="006F33A7"/>
        </w:tc>
      </w:tr>
      <w:tr w:rsidR="006F33A7" w14:paraId="38AD7E51" w14:textId="77777777">
        <w:tc>
          <w:tcPr>
            <w:tcW w:w="4855" w:type="dxa"/>
            <w:shd w:val="clear" w:color="auto" w:fill="FFFFFF"/>
            <w:noWrap/>
            <w:tcMar>
              <w:top w:w="75" w:type="dxa"/>
              <w:left w:w="75" w:type="dxa"/>
              <w:bottom w:w="75" w:type="dxa"/>
              <w:right w:w="75" w:type="dxa"/>
            </w:tcMar>
            <w:vAlign w:val="center"/>
          </w:tcPr>
          <w:p w14:paraId="3C295705" w14:textId="77777777" w:rsidR="006F33A7" w:rsidRDefault="006F33A7"/>
        </w:tc>
        <w:tc>
          <w:tcPr>
            <w:tcW w:w="4856" w:type="dxa"/>
            <w:shd w:val="clear" w:color="auto" w:fill="FFFFFF"/>
            <w:noWrap/>
            <w:tcMar>
              <w:top w:w="75" w:type="dxa"/>
              <w:left w:w="75" w:type="dxa"/>
              <w:bottom w:w="75" w:type="dxa"/>
              <w:right w:w="75" w:type="dxa"/>
            </w:tcMar>
            <w:vAlign w:val="center"/>
          </w:tcPr>
          <w:p w14:paraId="18FC1C4E" w14:textId="77777777" w:rsidR="006F33A7"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AD6ACBD" w14:textId="77777777" w:rsidR="006F33A7" w:rsidRDefault="006F33A7"/>
        </w:tc>
      </w:tr>
      <w:tr w:rsidR="006F33A7" w14:paraId="012CBA75" w14:textId="77777777">
        <w:tc>
          <w:tcPr>
            <w:tcW w:w="4855" w:type="dxa"/>
            <w:shd w:val="clear" w:color="auto" w:fill="FFFFFF"/>
            <w:noWrap/>
            <w:tcMar>
              <w:top w:w="75" w:type="dxa"/>
              <w:left w:w="75" w:type="dxa"/>
              <w:bottom w:w="75" w:type="dxa"/>
              <w:right w:w="75" w:type="dxa"/>
            </w:tcMar>
            <w:vAlign w:val="center"/>
          </w:tcPr>
          <w:p w14:paraId="72D3B0FB" w14:textId="77777777" w:rsidR="006F33A7"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E3978EE" w14:textId="77777777" w:rsidR="006F33A7" w:rsidRDefault="006F33A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DE123F1" w14:textId="77777777" w:rsidR="006F33A7" w:rsidRDefault="006F33A7"/>
        </w:tc>
      </w:tr>
      <w:tr w:rsidR="006F33A7" w14:paraId="1B5998E6" w14:textId="77777777">
        <w:tc>
          <w:tcPr>
            <w:tcW w:w="4855" w:type="dxa"/>
            <w:shd w:val="clear" w:color="auto" w:fill="FFFFFF"/>
            <w:noWrap/>
            <w:tcMar>
              <w:top w:w="75" w:type="dxa"/>
              <w:left w:w="75" w:type="dxa"/>
              <w:bottom w:w="75" w:type="dxa"/>
              <w:right w:w="75" w:type="dxa"/>
            </w:tcMar>
            <w:vAlign w:val="center"/>
          </w:tcPr>
          <w:p w14:paraId="2BF9CF2E" w14:textId="77777777" w:rsidR="006F33A7" w:rsidRDefault="006F33A7"/>
        </w:tc>
        <w:tc>
          <w:tcPr>
            <w:tcW w:w="4856" w:type="dxa"/>
            <w:shd w:val="clear" w:color="auto" w:fill="FFFFFF"/>
            <w:noWrap/>
            <w:tcMar>
              <w:top w:w="75" w:type="dxa"/>
              <w:left w:w="75" w:type="dxa"/>
              <w:bottom w:w="75" w:type="dxa"/>
              <w:right w:w="75" w:type="dxa"/>
            </w:tcMar>
            <w:vAlign w:val="center"/>
          </w:tcPr>
          <w:p w14:paraId="298DE5CA" w14:textId="77777777" w:rsidR="006F33A7"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43B53FB3" w14:textId="77777777" w:rsidR="006F33A7" w:rsidRDefault="006F33A7"/>
        </w:tc>
      </w:tr>
    </w:tbl>
    <w:p w14:paraId="574B69C6" w14:textId="77777777" w:rsidR="006F33A7" w:rsidRDefault="006F33A7"/>
    <w:p w14:paraId="0325AFF1" w14:textId="77777777" w:rsidR="006F33A7" w:rsidRDefault="00000000">
      <w:r>
        <w:t>Piezīmes.</w:t>
      </w:r>
    </w:p>
    <w:p w14:paraId="57DB7050" w14:textId="77777777" w:rsidR="006F33A7" w:rsidRDefault="00000000">
      <w:r>
        <w:t>* Iesniedzējs (fiziskai personai – vārds, uzvārds, juridiskai personai – nosaukums) var tikt publiskots, ja viņš tam ir piekritis. Ja attiecināms, iesniedzējs norāda interešu pārstāvja reģistrācijas numuru.</w:t>
      </w:r>
    </w:p>
    <w:p w14:paraId="18709D03" w14:textId="77777777" w:rsidR="006F33A7" w:rsidRDefault="00000000">
      <w:r>
        <w:t>** Dokumenta rekvizītus "datums" un "paraksts" neaizpilda, ja elektroniskais dokuments ir sagatavots atbilstoši normatīvajiem aktiem par elektronisko dokumentu noformēšanu.</w:t>
      </w:r>
    </w:p>
    <w:sectPr w:rsidR="006F33A7" w:rsidSect="00E526E6">
      <w:headerReference w:type="even" r:id="rId6"/>
      <w:headerReference w:type="default" r:id="rId7"/>
      <w:footerReference w:type="even" r:id="rId8"/>
      <w:footerReference w:type="default" r:id="rId9"/>
      <w:headerReference w:type="first" r:id="rId10"/>
      <w:footerReference w:type="first" r:id="rId11"/>
      <w:pgSz w:w="16833" w:h="11908" w:orient="landscape"/>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CAD03" w14:textId="77777777" w:rsidR="000D48FD" w:rsidRDefault="000D48FD">
      <w:r>
        <w:separator/>
      </w:r>
    </w:p>
  </w:endnote>
  <w:endnote w:type="continuationSeparator" w:id="0">
    <w:p w14:paraId="00278EE2" w14:textId="77777777" w:rsidR="000D48FD" w:rsidRDefault="000D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8B97" w14:textId="77777777" w:rsidR="00A235DA" w:rsidRDefault="00A235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FD26" w14:textId="77777777" w:rsidR="006F33A7" w:rsidRDefault="00000000">
    <w:pPr>
      <w:jc w:val="right"/>
    </w:pPr>
    <w:r>
      <w:rPr>
        <w:sz w:val="24"/>
        <w:szCs w:val="24"/>
      </w:rPr>
      <w:fldChar w:fldCharType="begin"/>
    </w:r>
    <w:r>
      <w:rPr>
        <w:sz w:val="24"/>
        <w:szCs w:val="24"/>
      </w:rPr>
      <w:instrText>PAGE</w:instrText>
    </w:r>
    <w:r>
      <w:rPr>
        <w:sz w:val="24"/>
        <w:szCs w:val="24"/>
      </w:rPr>
      <w:fldChar w:fldCharType="separate"/>
    </w:r>
    <w:r w:rsidR="00E526E6">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D43F" w14:textId="77777777" w:rsidR="00A235DA" w:rsidRDefault="00A23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48D4" w14:textId="77777777" w:rsidR="000D48FD" w:rsidRDefault="000D48FD">
      <w:r>
        <w:separator/>
      </w:r>
    </w:p>
  </w:footnote>
  <w:footnote w:type="continuationSeparator" w:id="0">
    <w:p w14:paraId="01335846" w14:textId="77777777" w:rsidR="000D48FD" w:rsidRDefault="000D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1AB59" w14:textId="77777777" w:rsidR="00E526E6" w:rsidRDefault="00E52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E28D" w14:textId="5D996CCB" w:rsidR="006F33A7" w:rsidRDefault="00000000">
    <w:pPr>
      <w:pStyle w:val="Header"/>
      <w:contextualSpacing w:val="0"/>
    </w:pPr>
    <w:r>
      <w:t>Viedokļu pārskats 24-TA-3257</w:t>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558B" w14:textId="622A0B45" w:rsidR="006F33A7" w:rsidRDefault="00000000">
    <w:pPr>
      <w:pStyle w:val="Header"/>
      <w:contextualSpacing w:val="0"/>
    </w:pPr>
    <w:r>
      <w:t>Viedokļu pārskats 24-TA-3257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A7"/>
    <w:rsid w:val="000D48FD"/>
    <w:rsid w:val="001F1710"/>
    <w:rsid w:val="0023170E"/>
    <w:rsid w:val="00372961"/>
    <w:rsid w:val="003D2A97"/>
    <w:rsid w:val="00512D62"/>
    <w:rsid w:val="00540F13"/>
    <w:rsid w:val="006F33A7"/>
    <w:rsid w:val="00887F80"/>
    <w:rsid w:val="009E1AD6"/>
    <w:rsid w:val="00A235DA"/>
    <w:rsid w:val="00B1343C"/>
    <w:rsid w:val="00C4148D"/>
    <w:rsid w:val="00D2427A"/>
    <w:rsid w:val="00D45886"/>
    <w:rsid w:val="00E15F84"/>
    <w:rsid w:val="00E526E6"/>
    <w:rsid w:val="00F51183"/>
    <w:rsid w:val="00F81B7A"/>
    <w:rsid w:val="00F9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67A7D"/>
  <w15:docId w15:val="{54487360-E0CA-044A-8801-FF7EF54C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526E6"/>
    <w:pPr>
      <w:tabs>
        <w:tab w:val="center" w:pos="4680"/>
        <w:tab w:val="right" w:pos="9360"/>
      </w:tabs>
    </w:pPr>
  </w:style>
  <w:style w:type="character" w:customStyle="1" w:styleId="FooterChar">
    <w:name w:val="Footer Char"/>
    <w:basedOn w:val="DefaultParagraphFont"/>
    <w:link w:val="Footer"/>
    <w:uiPriority w:val="99"/>
    <w:rsid w:val="00E526E6"/>
  </w:style>
  <w:style w:type="paragraph" w:styleId="ListParagraph">
    <w:name w:val="List Paragraph"/>
    <w:basedOn w:val="Normal"/>
    <w:uiPriority w:val="34"/>
    <w:qFormat/>
    <w:rsid w:val="00887F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773</Words>
  <Characters>5446</Characters>
  <Application>Microsoft Office Word</Application>
  <DocSecurity>0</DocSecurity>
  <Lines>89</Lines>
  <Paragraphs>15</Paragraphs>
  <ScaleCrop>false</ScaleCrop>
  <HeadingPairs>
    <vt:vector size="2" baseType="variant">
      <vt:variant>
        <vt:lpstr>Title</vt:lpstr>
      </vt:variant>
      <vt:variant>
        <vt:i4>1</vt:i4>
      </vt:variant>
    </vt:vector>
  </HeadingPairs>
  <TitlesOfParts>
    <vt:vector size="1" baseType="lpstr">
      <vt:lpstr>viedoklu_parskats_24-TA-3257.docx</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viedoklu_parskats_24-TA-3257.docx</dc:title>
  <cp:lastModifiedBy>Sandis Vilcāns</cp:lastModifiedBy>
  <cp:revision>3</cp:revision>
  <dcterms:created xsi:type="dcterms:W3CDTF">2025-07-28T08:29:00Z</dcterms:created>
  <dcterms:modified xsi:type="dcterms:W3CDTF">2025-07-28T08:29:00Z</dcterms:modified>
</cp:coreProperties>
</file>